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horzAnchor="margin" w:tblpY="-563"/>
        <w:tblW w:w="9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274"/>
        <w:gridCol w:w="4118"/>
        <w:gridCol w:w="2516"/>
        <w:gridCol w:w="1117"/>
      </w:tblGrid>
      <w:tr w:rsidR="00C76D4C" w:rsidTr="00C76D4C">
        <w:trPr>
          <w:trHeight w:val="275"/>
        </w:trPr>
        <w:tc>
          <w:tcPr>
            <w:tcW w:w="1274" w:type="dxa"/>
            <w:vMerge w:val="restart"/>
          </w:tcPr>
          <w:p w:rsidR="00C76D4C" w:rsidRDefault="00C76D4C" w:rsidP="00C76D4C">
            <w:pPr>
              <w:pStyle w:val="TableParagraph"/>
              <w:spacing w:before="2"/>
              <w:rPr>
                <w:rFonts w:ascii="Times New Roman"/>
                <w:sz w:val="6"/>
              </w:rPr>
            </w:pPr>
          </w:p>
          <w:p w:rsidR="00C76D4C" w:rsidRDefault="00C76D4C" w:rsidP="00C76D4C">
            <w:pPr>
              <w:pStyle w:val="TableParagraph"/>
              <w:ind w:left="215"/>
              <w:rPr>
                <w:rFonts w:ascii="Times New Roman"/>
                <w:sz w:val="20"/>
              </w:rPr>
            </w:pPr>
            <w:r>
              <w:rPr>
                <w:rFonts w:ascii="Times New Roman"/>
                <w:noProof/>
                <w:sz w:val="20"/>
                <w:lang w:eastAsia="tr-TR"/>
              </w:rPr>
              <w:drawing>
                <wp:inline distT="0" distB="0" distL="0" distR="0">
                  <wp:extent cx="622662"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2662" cy="804672"/>
                          </a:xfrm>
                          <a:prstGeom prst="rect">
                            <a:avLst/>
                          </a:prstGeom>
                        </pic:spPr>
                      </pic:pic>
                    </a:graphicData>
                  </a:graphic>
                </wp:inline>
              </w:drawing>
            </w:r>
          </w:p>
        </w:tc>
        <w:tc>
          <w:tcPr>
            <w:tcW w:w="4118" w:type="dxa"/>
            <w:vMerge w:val="restart"/>
          </w:tcPr>
          <w:p w:rsidR="00C76D4C" w:rsidRDefault="00C76D4C" w:rsidP="00C76D4C">
            <w:pPr>
              <w:pStyle w:val="TableParagraph"/>
              <w:jc w:val="center"/>
            </w:pPr>
          </w:p>
          <w:p w:rsidR="00C76D4C" w:rsidRPr="00AB33B8" w:rsidRDefault="00C76D4C" w:rsidP="00C76D4C">
            <w:pPr>
              <w:pStyle w:val="TableParagraph"/>
              <w:jc w:val="center"/>
              <w:rPr>
                <w:rFonts w:ascii="Times New Roman" w:hAnsi="Times New Roman" w:cs="Times New Roman"/>
              </w:rPr>
            </w:pPr>
            <w:r w:rsidRPr="00AB33B8">
              <w:rPr>
                <w:rFonts w:ascii="Times New Roman" w:hAnsi="Times New Roman" w:cs="Times New Roman"/>
              </w:rPr>
              <w:t>BİLİMSEL ARAŞTIRMA PROJELERİ KOORDİNATÖRLÜĞÜ</w:t>
            </w:r>
          </w:p>
          <w:p w:rsidR="00C76D4C" w:rsidRDefault="00C76D4C" w:rsidP="00C76D4C">
            <w:pPr>
              <w:pStyle w:val="TableParagraph"/>
              <w:jc w:val="center"/>
              <w:rPr>
                <w:rFonts w:ascii="Times New Roman"/>
                <w:sz w:val="20"/>
              </w:rPr>
            </w:pPr>
            <w:r w:rsidRPr="00AB33B8">
              <w:rPr>
                <w:rFonts w:ascii="Times New Roman" w:hAnsi="Times New Roman" w:cs="Times New Roman"/>
              </w:rPr>
              <w:t>TEKNİK ŞARTNAME HAZIRLAMA TALİMATI</w:t>
            </w:r>
          </w:p>
        </w:tc>
        <w:tc>
          <w:tcPr>
            <w:tcW w:w="2516" w:type="dxa"/>
          </w:tcPr>
          <w:p w:rsidR="00C76D4C" w:rsidRPr="00AB33B8" w:rsidRDefault="00C76D4C" w:rsidP="00C76D4C">
            <w:pPr>
              <w:pStyle w:val="TableParagraph"/>
              <w:spacing w:before="7"/>
              <w:ind w:left="82"/>
              <w:rPr>
                <w:rFonts w:ascii="Times New Roman" w:hAnsi="Times New Roman" w:cs="Times New Roman"/>
                <w:sz w:val="20"/>
              </w:rPr>
            </w:pPr>
            <w:r w:rsidRPr="00AB33B8">
              <w:rPr>
                <w:rFonts w:ascii="Times New Roman" w:hAnsi="Times New Roman" w:cs="Times New Roman"/>
                <w:color w:val="00000A"/>
                <w:sz w:val="20"/>
              </w:rPr>
              <w:t xml:space="preserve">BŞEÜ-KAYSİS </w:t>
            </w:r>
            <w:proofErr w:type="spellStart"/>
            <w:r w:rsidRPr="00AB33B8">
              <w:rPr>
                <w:rFonts w:ascii="Times New Roman" w:hAnsi="Times New Roman" w:cs="Times New Roman"/>
                <w:color w:val="00000A"/>
                <w:sz w:val="20"/>
              </w:rPr>
              <w:t>Belge</w:t>
            </w:r>
            <w:proofErr w:type="spellEnd"/>
            <w:r w:rsidRPr="00AB33B8">
              <w:rPr>
                <w:rFonts w:ascii="Times New Roman" w:hAnsi="Times New Roman" w:cs="Times New Roman"/>
                <w:color w:val="00000A"/>
                <w:sz w:val="20"/>
              </w:rPr>
              <w:t xml:space="preserve"> No</w:t>
            </w:r>
          </w:p>
        </w:tc>
        <w:tc>
          <w:tcPr>
            <w:tcW w:w="1117" w:type="dxa"/>
          </w:tcPr>
          <w:p w:rsidR="00C76D4C" w:rsidRDefault="00C76D4C" w:rsidP="00C76D4C">
            <w:pPr>
              <w:pStyle w:val="TableParagraph"/>
              <w:rPr>
                <w:rFonts w:ascii="Times New Roman"/>
                <w:sz w:val="20"/>
              </w:rPr>
            </w:pPr>
          </w:p>
        </w:tc>
      </w:tr>
      <w:tr w:rsidR="00C76D4C" w:rsidTr="00C76D4C">
        <w:trPr>
          <w:trHeight w:val="276"/>
        </w:trPr>
        <w:tc>
          <w:tcPr>
            <w:tcW w:w="1274" w:type="dxa"/>
            <w:vMerge/>
            <w:tcBorders>
              <w:top w:val="nil"/>
            </w:tcBorders>
          </w:tcPr>
          <w:p w:rsidR="00C76D4C" w:rsidRDefault="00C76D4C" w:rsidP="00C76D4C">
            <w:pPr>
              <w:rPr>
                <w:sz w:val="2"/>
                <w:szCs w:val="2"/>
              </w:rPr>
            </w:pPr>
          </w:p>
        </w:tc>
        <w:tc>
          <w:tcPr>
            <w:tcW w:w="4118" w:type="dxa"/>
            <w:vMerge/>
            <w:tcBorders>
              <w:top w:val="nil"/>
            </w:tcBorders>
          </w:tcPr>
          <w:p w:rsidR="00C76D4C" w:rsidRDefault="00C76D4C" w:rsidP="00C76D4C">
            <w:pPr>
              <w:rPr>
                <w:sz w:val="2"/>
                <w:szCs w:val="2"/>
              </w:rPr>
            </w:pPr>
          </w:p>
        </w:tc>
        <w:tc>
          <w:tcPr>
            <w:tcW w:w="2516" w:type="dxa"/>
          </w:tcPr>
          <w:p w:rsidR="00C76D4C" w:rsidRPr="00AB33B8" w:rsidRDefault="00C76D4C" w:rsidP="00C76D4C">
            <w:pPr>
              <w:pStyle w:val="TableParagraph"/>
              <w:spacing w:before="7"/>
              <w:ind w:left="82"/>
              <w:rPr>
                <w:rFonts w:ascii="Times New Roman" w:hAnsi="Times New Roman" w:cs="Times New Roman"/>
                <w:sz w:val="20"/>
              </w:rPr>
            </w:pPr>
            <w:r w:rsidRPr="00AB33B8">
              <w:rPr>
                <w:rFonts w:ascii="Times New Roman" w:hAnsi="Times New Roman" w:cs="Times New Roman"/>
                <w:color w:val="00000A"/>
                <w:sz w:val="20"/>
              </w:rPr>
              <w:t xml:space="preserve">İlk </w:t>
            </w:r>
            <w:proofErr w:type="spellStart"/>
            <w:r w:rsidRPr="00AB33B8">
              <w:rPr>
                <w:rFonts w:ascii="Times New Roman" w:hAnsi="Times New Roman" w:cs="Times New Roman"/>
                <w:color w:val="00000A"/>
                <w:sz w:val="20"/>
              </w:rPr>
              <w:t>Yayın</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Tarihi</w:t>
            </w:r>
            <w:proofErr w:type="spellEnd"/>
            <w:r w:rsidRPr="00AB33B8">
              <w:rPr>
                <w:rFonts w:ascii="Times New Roman" w:hAnsi="Times New Roman" w:cs="Times New Roman"/>
                <w:color w:val="00000A"/>
                <w:sz w:val="20"/>
              </w:rPr>
              <w:t>/</w:t>
            </w:r>
            <w:proofErr w:type="spellStart"/>
            <w:r w:rsidRPr="00AB33B8">
              <w:rPr>
                <w:rFonts w:ascii="Times New Roman" w:hAnsi="Times New Roman" w:cs="Times New Roman"/>
                <w:color w:val="00000A"/>
                <w:sz w:val="20"/>
              </w:rPr>
              <w:t>Sayısı</w:t>
            </w:r>
            <w:proofErr w:type="spellEnd"/>
          </w:p>
        </w:tc>
        <w:tc>
          <w:tcPr>
            <w:tcW w:w="1117" w:type="dxa"/>
          </w:tcPr>
          <w:p w:rsidR="00C76D4C" w:rsidRDefault="00C76D4C" w:rsidP="00C76D4C">
            <w:pPr>
              <w:pStyle w:val="TableParagraph"/>
              <w:rPr>
                <w:rFonts w:ascii="Times New Roman"/>
                <w:sz w:val="20"/>
              </w:rPr>
            </w:pPr>
          </w:p>
        </w:tc>
      </w:tr>
      <w:tr w:rsidR="00C76D4C" w:rsidTr="00C76D4C">
        <w:trPr>
          <w:trHeight w:val="275"/>
        </w:trPr>
        <w:tc>
          <w:tcPr>
            <w:tcW w:w="1274" w:type="dxa"/>
            <w:vMerge/>
            <w:tcBorders>
              <w:top w:val="nil"/>
            </w:tcBorders>
          </w:tcPr>
          <w:p w:rsidR="00C76D4C" w:rsidRDefault="00C76D4C" w:rsidP="00C76D4C">
            <w:pPr>
              <w:rPr>
                <w:sz w:val="2"/>
                <w:szCs w:val="2"/>
              </w:rPr>
            </w:pPr>
          </w:p>
        </w:tc>
        <w:tc>
          <w:tcPr>
            <w:tcW w:w="4118" w:type="dxa"/>
            <w:vMerge/>
            <w:tcBorders>
              <w:top w:val="nil"/>
            </w:tcBorders>
          </w:tcPr>
          <w:p w:rsidR="00C76D4C" w:rsidRDefault="00C76D4C" w:rsidP="00C76D4C">
            <w:pPr>
              <w:rPr>
                <w:sz w:val="2"/>
                <w:szCs w:val="2"/>
              </w:rPr>
            </w:pPr>
          </w:p>
        </w:tc>
        <w:tc>
          <w:tcPr>
            <w:tcW w:w="2516" w:type="dxa"/>
          </w:tcPr>
          <w:p w:rsidR="00C76D4C" w:rsidRPr="00AB33B8" w:rsidRDefault="00C76D4C" w:rsidP="00C76D4C">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Revizyon</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Tarihi</w:t>
            </w:r>
            <w:proofErr w:type="spellEnd"/>
          </w:p>
        </w:tc>
        <w:tc>
          <w:tcPr>
            <w:tcW w:w="1117" w:type="dxa"/>
          </w:tcPr>
          <w:p w:rsidR="00C76D4C" w:rsidRDefault="00C76D4C" w:rsidP="00C76D4C">
            <w:pPr>
              <w:pStyle w:val="TableParagraph"/>
              <w:rPr>
                <w:rFonts w:ascii="Times New Roman"/>
                <w:sz w:val="20"/>
              </w:rPr>
            </w:pPr>
          </w:p>
        </w:tc>
      </w:tr>
      <w:tr w:rsidR="00C76D4C" w:rsidTr="00C76D4C">
        <w:trPr>
          <w:trHeight w:val="276"/>
        </w:trPr>
        <w:tc>
          <w:tcPr>
            <w:tcW w:w="1274" w:type="dxa"/>
            <w:vMerge/>
            <w:tcBorders>
              <w:top w:val="nil"/>
            </w:tcBorders>
          </w:tcPr>
          <w:p w:rsidR="00C76D4C" w:rsidRDefault="00C76D4C" w:rsidP="00C76D4C">
            <w:pPr>
              <w:rPr>
                <w:sz w:val="2"/>
                <w:szCs w:val="2"/>
              </w:rPr>
            </w:pPr>
          </w:p>
        </w:tc>
        <w:tc>
          <w:tcPr>
            <w:tcW w:w="4118" w:type="dxa"/>
            <w:vMerge/>
            <w:tcBorders>
              <w:top w:val="nil"/>
            </w:tcBorders>
          </w:tcPr>
          <w:p w:rsidR="00C76D4C" w:rsidRDefault="00C76D4C" w:rsidP="00C76D4C">
            <w:pPr>
              <w:rPr>
                <w:sz w:val="2"/>
                <w:szCs w:val="2"/>
              </w:rPr>
            </w:pPr>
          </w:p>
        </w:tc>
        <w:tc>
          <w:tcPr>
            <w:tcW w:w="2516" w:type="dxa"/>
          </w:tcPr>
          <w:p w:rsidR="00C76D4C" w:rsidRPr="00AB33B8" w:rsidRDefault="00C76D4C" w:rsidP="00C76D4C">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Revizyon</w:t>
            </w:r>
            <w:proofErr w:type="spellEnd"/>
            <w:r w:rsidRPr="00AB33B8">
              <w:rPr>
                <w:rFonts w:ascii="Times New Roman" w:hAnsi="Times New Roman" w:cs="Times New Roman"/>
                <w:color w:val="00000A"/>
                <w:sz w:val="20"/>
              </w:rPr>
              <w:t xml:space="preserve"> No</w:t>
            </w:r>
          </w:p>
        </w:tc>
        <w:tc>
          <w:tcPr>
            <w:tcW w:w="1117" w:type="dxa"/>
          </w:tcPr>
          <w:p w:rsidR="00C76D4C" w:rsidRDefault="00C76D4C" w:rsidP="00C76D4C">
            <w:pPr>
              <w:pStyle w:val="TableParagraph"/>
              <w:rPr>
                <w:rFonts w:ascii="Times New Roman"/>
                <w:sz w:val="20"/>
              </w:rPr>
            </w:pPr>
          </w:p>
        </w:tc>
      </w:tr>
      <w:tr w:rsidR="00C76D4C" w:rsidTr="00C76D4C">
        <w:trPr>
          <w:trHeight w:val="275"/>
        </w:trPr>
        <w:tc>
          <w:tcPr>
            <w:tcW w:w="1274" w:type="dxa"/>
            <w:vMerge/>
            <w:tcBorders>
              <w:top w:val="nil"/>
            </w:tcBorders>
          </w:tcPr>
          <w:p w:rsidR="00C76D4C" w:rsidRDefault="00C76D4C" w:rsidP="00C76D4C">
            <w:pPr>
              <w:rPr>
                <w:sz w:val="2"/>
                <w:szCs w:val="2"/>
              </w:rPr>
            </w:pPr>
          </w:p>
        </w:tc>
        <w:tc>
          <w:tcPr>
            <w:tcW w:w="4118" w:type="dxa"/>
            <w:vMerge/>
            <w:tcBorders>
              <w:top w:val="nil"/>
            </w:tcBorders>
          </w:tcPr>
          <w:p w:rsidR="00C76D4C" w:rsidRDefault="00C76D4C" w:rsidP="00C76D4C">
            <w:pPr>
              <w:rPr>
                <w:sz w:val="2"/>
                <w:szCs w:val="2"/>
              </w:rPr>
            </w:pPr>
          </w:p>
        </w:tc>
        <w:tc>
          <w:tcPr>
            <w:tcW w:w="2516" w:type="dxa"/>
          </w:tcPr>
          <w:p w:rsidR="00C76D4C" w:rsidRPr="00AB33B8" w:rsidRDefault="00C76D4C" w:rsidP="00C76D4C">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Toplam</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Sayfa</w:t>
            </w:r>
            <w:proofErr w:type="spellEnd"/>
          </w:p>
        </w:tc>
        <w:tc>
          <w:tcPr>
            <w:tcW w:w="1117" w:type="dxa"/>
          </w:tcPr>
          <w:p w:rsidR="00C76D4C" w:rsidRDefault="00C76D4C" w:rsidP="00F570B3">
            <w:pPr>
              <w:pStyle w:val="TableParagraph"/>
              <w:rPr>
                <w:rFonts w:ascii="Times New Roman"/>
                <w:sz w:val="20"/>
              </w:rPr>
            </w:pPr>
          </w:p>
        </w:tc>
      </w:tr>
    </w:tbl>
    <w:p w:rsidR="00C76D4C" w:rsidRDefault="00C76D4C" w:rsidP="0089316C">
      <w:pPr>
        <w:spacing w:after="0"/>
        <w:jc w:val="both"/>
        <w:rPr>
          <w:rFonts w:ascii="Times New Roman" w:hAnsi="Times New Roman" w:cs="Times New Roman"/>
          <w:b/>
        </w:rPr>
      </w:pPr>
    </w:p>
    <w:p w:rsidR="0089316C" w:rsidRDefault="0089316C" w:rsidP="00674AB6">
      <w:pPr>
        <w:spacing w:after="0"/>
        <w:ind w:firstLine="708"/>
        <w:jc w:val="both"/>
        <w:rPr>
          <w:rFonts w:ascii="Times New Roman" w:hAnsi="Times New Roman" w:cs="Times New Roman"/>
          <w:b/>
        </w:rPr>
      </w:pPr>
      <w:r w:rsidRPr="0089316C">
        <w:rPr>
          <w:rFonts w:ascii="Times New Roman" w:hAnsi="Times New Roman" w:cs="Times New Roman"/>
          <w:b/>
        </w:rPr>
        <w:t xml:space="preserve">Yasal dayanaklar: 4734 sayılı Kamu İhale Kanunu 4. </w:t>
      </w:r>
      <w:r w:rsidR="00C868B6">
        <w:rPr>
          <w:rFonts w:ascii="Times New Roman" w:hAnsi="Times New Roman" w:cs="Times New Roman"/>
          <w:b/>
        </w:rPr>
        <w:t>ma</w:t>
      </w:r>
      <w:r w:rsidRPr="0089316C">
        <w:rPr>
          <w:rFonts w:ascii="Times New Roman" w:hAnsi="Times New Roman" w:cs="Times New Roman"/>
          <w:b/>
        </w:rPr>
        <w:t xml:space="preserve">ddesinin 17. </w:t>
      </w:r>
      <w:r w:rsidR="00C868B6">
        <w:rPr>
          <w:rFonts w:ascii="Times New Roman" w:hAnsi="Times New Roman" w:cs="Times New Roman"/>
          <w:b/>
        </w:rPr>
        <w:t>be</w:t>
      </w:r>
      <w:r w:rsidRPr="0089316C">
        <w:rPr>
          <w:rFonts w:ascii="Times New Roman" w:hAnsi="Times New Roman" w:cs="Times New Roman"/>
          <w:b/>
        </w:rPr>
        <w:t xml:space="preserve">ndindeki tanımlama, 5. </w:t>
      </w:r>
      <w:r w:rsidR="00C868B6">
        <w:rPr>
          <w:rFonts w:ascii="Times New Roman" w:hAnsi="Times New Roman" w:cs="Times New Roman"/>
          <w:b/>
        </w:rPr>
        <w:t>ma</w:t>
      </w:r>
      <w:r w:rsidRPr="0089316C">
        <w:rPr>
          <w:rFonts w:ascii="Times New Roman" w:hAnsi="Times New Roman" w:cs="Times New Roman"/>
          <w:b/>
        </w:rPr>
        <w:t xml:space="preserve">ddesinin 1. </w:t>
      </w:r>
      <w:r w:rsidR="00C868B6">
        <w:rPr>
          <w:rFonts w:ascii="Times New Roman" w:hAnsi="Times New Roman" w:cs="Times New Roman"/>
          <w:b/>
        </w:rPr>
        <w:t>b</w:t>
      </w:r>
      <w:r w:rsidRPr="0089316C">
        <w:rPr>
          <w:rFonts w:ascii="Times New Roman" w:hAnsi="Times New Roman" w:cs="Times New Roman"/>
          <w:b/>
        </w:rPr>
        <w:t xml:space="preserve">endi, 12. </w:t>
      </w:r>
      <w:r w:rsidR="00C868B6">
        <w:rPr>
          <w:rFonts w:ascii="Times New Roman" w:hAnsi="Times New Roman" w:cs="Times New Roman"/>
          <w:b/>
        </w:rPr>
        <w:t>m</w:t>
      </w:r>
      <w:r w:rsidRPr="0089316C">
        <w:rPr>
          <w:rFonts w:ascii="Times New Roman" w:hAnsi="Times New Roman" w:cs="Times New Roman"/>
          <w:b/>
        </w:rPr>
        <w:t xml:space="preserve">addesi, 27. </w:t>
      </w:r>
      <w:r w:rsidR="00C868B6">
        <w:rPr>
          <w:rFonts w:ascii="Times New Roman" w:hAnsi="Times New Roman" w:cs="Times New Roman"/>
          <w:b/>
        </w:rPr>
        <w:t>m</w:t>
      </w:r>
      <w:r w:rsidRPr="0089316C">
        <w:rPr>
          <w:rFonts w:ascii="Times New Roman" w:hAnsi="Times New Roman" w:cs="Times New Roman"/>
          <w:b/>
        </w:rPr>
        <w:t xml:space="preserve">addesi 1. </w:t>
      </w:r>
      <w:r w:rsidR="00C868B6">
        <w:rPr>
          <w:rFonts w:ascii="Times New Roman" w:hAnsi="Times New Roman" w:cs="Times New Roman"/>
          <w:b/>
        </w:rPr>
        <w:t>c</w:t>
      </w:r>
      <w:r w:rsidR="00674AB6">
        <w:rPr>
          <w:rFonts w:ascii="Times New Roman" w:hAnsi="Times New Roman" w:cs="Times New Roman"/>
          <w:b/>
        </w:rPr>
        <w:t xml:space="preserve">ümlesi hükümlerine göre, </w:t>
      </w:r>
      <w:proofErr w:type="gramStart"/>
      <w:r w:rsidR="00175EC4">
        <w:rPr>
          <w:rFonts w:ascii="Times New Roman" w:hAnsi="Times New Roman" w:cs="Times New Roman"/>
          <w:b/>
        </w:rPr>
        <w:t>0</w:t>
      </w:r>
      <w:r w:rsidRPr="0089316C">
        <w:rPr>
          <w:rFonts w:ascii="Times New Roman" w:hAnsi="Times New Roman" w:cs="Times New Roman"/>
          <w:b/>
        </w:rPr>
        <w:t>1/12/2003</w:t>
      </w:r>
      <w:proofErr w:type="gramEnd"/>
      <w:r w:rsidRPr="0089316C">
        <w:rPr>
          <w:rFonts w:ascii="Times New Roman" w:hAnsi="Times New Roman" w:cs="Times New Roman"/>
          <w:b/>
        </w:rPr>
        <w:t xml:space="preserve"> tarihli 2003/6554 </w:t>
      </w:r>
      <w:r w:rsidR="00C868B6">
        <w:rPr>
          <w:rFonts w:ascii="Times New Roman" w:hAnsi="Times New Roman" w:cs="Times New Roman"/>
          <w:b/>
        </w:rPr>
        <w:t>s</w:t>
      </w:r>
      <w:r w:rsidRPr="0089316C">
        <w:rPr>
          <w:rFonts w:ascii="Times New Roman" w:hAnsi="Times New Roman" w:cs="Times New Roman"/>
          <w:b/>
        </w:rPr>
        <w:t xml:space="preserve">ayılı Kararnamenin Eki 5. </w:t>
      </w:r>
      <w:r w:rsidR="00C868B6">
        <w:rPr>
          <w:rFonts w:ascii="Times New Roman" w:hAnsi="Times New Roman" w:cs="Times New Roman"/>
          <w:b/>
        </w:rPr>
        <w:t>m</w:t>
      </w:r>
      <w:r w:rsidRPr="0089316C">
        <w:rPr>
          <w:rFonts w:ascii="Times New Roman" w:hAnsi="Times New Roman" w:cs="Times New Roman"/>
          <w:b/>
        </w:rPr>
        <w:t xml:space="preserve">addesi ve 23. </w:t>
      </w:r>
      <w:r w:rsidR="00C868B6">
        <w:rPr>
          <w:rFonts w:ascii="Times New Roman" w:hAnsi="Times New Roman" w:cs="Times New Roman"/>
          <w:b/>
        </w:rPr>
        <w:t>m</w:t>
      </w:r>
      <w:r w:rsidRPr="0089316C">
        <w:rPr>
          <w:rFonts w:ascii="Times New Roman" w:hAnsi="Times New Roman" w:cs="Times New Roman"/>
          <w:b/>
        </w:rPr>
        <w:t xml:space="preserve">addesi 1. </w:t>
      </w:r>
      <w:r w:rsidR="00C868B6">
        <w:rPr>
          <w:rFonts w:ascii="Times New Roman" w:hAnsi="Times New Roman" w:cs="Times New Roman"/>
          <w:b/>
        </w:rPr>
        <w:t>b</w:t>
      </w:r>
      <w:r w:rsidRPr="0089316C">
        <w:rPr>
          <w:rFonts w:ascii="Times New Roman" w:hAnsi="Times New Roman" w:cs="Times New Roman"/>
          <w:b/>
        </w:rPr>
        <w:t xml:space="preserve">endi hükümlerine göre, Mal Alımı İhaleleri Uygulama Yönetmeliği 10. </w:t>
      </w:r>
      <w:r w:rsidR="00C868B6">
        <w:rPr>
          <w:rFonts w:ascii="Times New Roman" w:hAnsi="Times New Roman" w:cs="Times New Roman"/>
          <w:b/>
        </w:rPr>
        <w:t>m</w:t>
      </w:r>
      <w:r w:rsidRPr="0089316C">
        <w:rPr>
          <w:rFonts w:ascii="Times New Roman" w:hAnsi="Times New Roman" w:cs="Times New Roman"/>
          <w:b/>
        </w:rPr>
        <w:t xml:space="preserve">addesi 1. </w:t>
      </w:r>
      <w:r w:rsidR="00C868B6">
        <w:rPr>
          <w:rFonts w:ascii="Times New Roman" w:hAnsi="Times New Roman" w:cs="Times New Roman"/>
          <w:b/>
        </w:rPr>
        <w:t>b</w:t>
      </w:r>
      <w:r w:rsidRPr="0089316C">
        <w:rPr>
          <w:rFonts w:ascii="Times New Roman" w:hAnsi="Times New Roman" w:cs="Times New Roman"/>
          <w:b/>
        </w:rPr>
        <w:t xml:space="preserve">endi, 14. </w:t>
      </w:r>
      <w:r w:rsidR="00A06131">
        <w:rPr>
          <w:rFonts w:ascii="Times New Roman" w:hAnsi="Times New Roman" w:cs="Times New Roman"/>
          <w:b/>
        </w:rPr>
        <w:t>m</w:t>
      </w:r>
      <w:r w:rsidRPr="0089316C">
        <w:rPr>
          <w:rFonts w:ascii="Times New Roman" w:hAnsi="Times New Roman" w:cs="Times New Roman"/>
          <w:b/>
        </w:rPr>
        <w:t>addesi</w:t>
      </w:r>
      <w:r w:rsidR="00C868B6">
        <w:rPr>
          <w:rFonts w:ascii="Times New Roman" w:hAnsi="Times New Roman" w:cs="Times New Roman"/>
          <w:b/>
        </w:rPr>
        <w:t xml:space="preserve"> v</w:t>
      </w:r>
      <w:r w:rsidRPr="0089316C">
        <w:rPr>
          <w:rFonts w:ascii="Times New Roman" w:hAnsi="Times New Roman" w:cs="Times New Roman"/>
          <w:b/>
        </w:rPr>
        <w:t xml:space="preserve">e 39. </w:t>
      </w:r>
      <w:r w:rsidR="00C868B6">
        <w:rPr>
          <w:rFonts w:ascii="Times New Roman" w:hAnsi="Times New Roman" w:cs="Times New Roman"/>
          <w:b/>
        </w:rPr>
        <w:t>m</w:t>
      </w:r>
      <w:r w:rsidRPr="0089316C">
        <w:rPr>
          <w:rFonts w:ascii="Times New Roman" w:hAnsi="Times New Roman" w:cs="Times New Roman"/>
          <w:b/>
        </w:rPr>
        <w:t>addesi h</w:t>
      </w:r>
      <w:r w:rsidR="00F765B4">
        <w:rPr>
          <w:rFonts w:ascii="Times New Roman" w:hAnsi="Times New Roman" w:cs="Times New Roman"/>
          <w:b/>
        </w:rPr>
        <w:t>ükümlerine göre düzenlenmiştir.</w:t>
      </w:r>
    </w:p>
    <w:p w:rsidR="00C93B96" w:rsidRPr="0089316C" w:rsidRDefault="00C93B96" w:rsidP="00674AB6">
      <w:pPr>
        <w:spacing w:after="0"/>
        <w:ind w:firstLine="708"/>
        <w:jc w:val="both"/>
        <w:rPr>
          <w:rFonts w:ascii="Times New Roman" w:hAnsi="Times New Roman" w:cs="Times New Roman"/>
          <w:b/>
        </w:rPr>
      </w:pPr>
    </w:p>
    <w:p w:rsidR="00152C16" w:rsidRPr="0089316C" w:rsidRDefault="00152C16" w:rsidP="00106616">
      <w:pPr>
        <w:jc w:val="center"/>
        <w:rPr>
          <w:rFonts w:ascii="Times New Roman" w:hAnsi="Times New Roman" w:cs="Times New Roman"/>
          <w:b/>
        </w:rPr>
      </w:pPr>
      <w:r w:rsidRPr="0089316C">
        <w:rPr>
          <w:rFonts w:ascii="Times New Roman" w:hAnsi="Times New Roman" w:cs="Times New Roman"/>
          <w:b/>
        </w:rPr>
        <w:t>Teknik Şartname Hazırlarken Dikkat</w:t>
      </w:r>
      <w:r w:rsidR="002D231A">
        <w:rPr>
          <w:rFonts w:ascii="Times New Roman" w:hAnsi="Times New Roman" w:cs="Times New Roman"/>
          <w:b/>
        </w:rPr>
        <w:t xml:space="preserve"> Edilmesi Gereken Bazı Hususlar;</w:t>
      </w:r>
    </w:p>
    <w:p w:rsidR="0055785D" w:rsidRDefault="00221D6A" w:rsidP="0089316C">
      <w:pPr>
        <w:jc w:val="both"/>
        <w:rPr>
          <w:rFonts w:ascii="Times New Roman" w:hAnsi="Times New Roman" w:cs="Times New Roman"/>
        </w:rPr>
      </w:pPr>
      <w:r w:rsidRPr="00221D6A">
        <w:rPr>
          <w:rFonts w:ascii="Times New Roman" w:hAnsi="Times New Roman" w:cs="Times New Roman"/>
          <w:b/>
        </w:rPr>
        <w:t>1</w:t>
      </w:r>
      <w:r w:rsidR="00141538" w:rsidRPr="00221D6A">
        <w:rPr>
          <w:rFonts w:ascii="Times New Roman" w:hAnsi="Times New Roman" w:cs="Times New Roman"/>
          <w:b/>
        </w:rPr>
        <w:t>.</w:t>
      </w:r>
      <w:r w:rsidR="00F47BA1">
        <w:rPr>
          <w:rFonts w:ascii="Times New Roman" w:hAnsi="Times New Roman" w:cs="Times New Roman"/>
          <w:b/>
        </w:rPr>
        <w:t xml:space="preserve"> </w:t>
      </w:r>
      <w:r w:rsidR="0055785D" w:rsidRPr="0089316C">
        <w:rPr>
          <w:rFonts w:ascii="Times New Roman" w:hAnsi="Times New Roman" w:cs="Times New Roman"/>
        </w:rPr>
        <w:t>İdarelerce hazırlanan teknik şartname, malın teknik ayrıntıları hakkındadır ve ihale dokümanına eklenir.</w:t>
      </w:r>
    </w:p>
    <w:p w:rsidR="0055785D" w:rsidRDefault="0055785D" w:rsidP="00351818">
      <w:pPr>
        <w:jc w:val="both"/>
        <w:rPr>
          <w:rFonts w:ascii="Times New Roman" w:hAnsi="Times New Roman" w:cs="Times New Roman"/>
        </w:rPr>
      </w:pPr>
      <w:r w:rsidRPr="0055785D">
        <w:rPr>
          <w:rFonts w:ascii="Times New Roman" w:hAnsi="Times New Roman" w:cs="Times New Roman"/>
          <w:b/>
        </w:rPr>
        <w:t>2.</w:t>
      </w:r>
      <w:r w:rsidR="00F47BA1">
        <w:rPr>
          <w:rFonts w:ascii="Times New Roman" w:hAnsi="Times New Roman" w:cs="Times New Roman"/>
          <w:b/>
        </w:rPr>
        <w:t xml:space="preserve"> </w:t>
      </w:r>
      <w:r w:rsidR="00141538" w:rsidRPr="0089316C">
        <w:rPr>
          <w:rFonts w:ascii="Times New Roman" w:hAnsi="Times New Roman" w:cs="Times New Roman"/>
        </w:rPr>
        <w:t>Teknik şartnameler</w:t>
      </w:r>
      <w:r>
        <w:rPr>
          <w:rFonts w:ascii="Times New Roman" w:hAnsi="Times New Roman" w:cs="Times New Roman"/>
        </w:rPr>
        <w:t>de</w:t>
      </w:r>
      <w:r w:rsidR="00C868B6">
        <w:rPr>
          <w:rFonts w:ascii="Times New Roman" w:hAnsi="Times New Roman" w:cs="Times New Roman"/>
        </w:rPr>
        <w:t xml:space="preserve"> </w:t>
      </w:r>
      <w:r>
        <w:rPr>
          <w:rFonts w:ascii="Times New Roman" w:hAnsi="Times New Roman" w:cs="Times New Roman"/>
        </w:rPr>
        <w:t>b</w:t>
      </w:r>
      <w:r w:rsidRPr="0089316C">
        <w:rPr>
          <w:rFonts w:ascii="Times New Roman" w:hAnsi="Times New Roman" w:cs="Times New Roman"/>
        </w:rPr>
        <w:t>elir</w:t>
      </w:r>
      <w:r>
        <w:rPr>
          <w:rFonts w:ascii="Times New Roman" w:hAnsi="Times New Roman" w:cs="Times New Roman"/>
        </w:rPr>
        <w:t>tilecek</w:t>
      </w:r>
      <w:r w:rsidRPr="0089316C">
        <w:rPr>
          <w:rFonts w:ascii="Times New Roman" w:hAnsi="Times New Roman" w:cs="Times New Roman"/>
        </w:rPr>
        <w:t xml:space="preserve"> teknik istekler, verimliliği ve fonksiyonelliği sağlamaya yönelik olmalı, rekabeti önleyici hususlar içermemeli ve bütün istekliler için fırsat eşitliği sağlam</w:t>
      </w:r>
      <w:r>
        <w:rPr>
          <w:rFonts w:ascii="Times New Roman" w:hAnsi="Times New Roman" w:cs="Times New Roman"/>
        </w:rPr>
        <w:t xml:space="preserve">alıdır. </w:t>
      </w:r>
      <w:r w:rsidRPr="0089316C">
        <w:rPr>
          <w:rFonts w:ascii="Times New Roman" w:hAnsi="Times New Roman" w:cs="Times New Roman"/>
        </w:rPr>
        <w:t>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w:t>
      </w:r>
      <w:r w:rsidR="00C868B6">
        <w:rPr>
          <w:rFonts w:ascii="Times New Roman" w:hAnsi="Times New Roman" w:cs="Times New Roman"/>
        </w:rPr>
        <w:t>r.</w:t>
      </w:r>
    </w:p>
    <w:p w:rsidR="00351818" w:rsidRDefault="00351818" w:rsidP="00351818">
      <w:pPr>
        <w:jc w:val="both"/>
        <w:rPr>
          <w:rFonts w:ascii="Times New Roman" w:hAnsi="Times New Roman" w:cs="Times New Roman"/>
        </w:rPr>
      </w:pPr>
      <w:r w:rsidRPr="00221D6A">
        <w:rPr>
          <w:rFonts w:ascii="Times New Roman" w:hAnsi="Times New Roman" w:cs="Times New Roman"/>
          <w:b/>
        </w:rPr>
        <w:t>3.</w:t>
      </w:r>
      <w:r w:rsidR="00F47BA1">
        <w:rPr>
          <w:rFonts w:ascii="Times New Roman" w:hAnsi="Times New Roman" w:cs="Times New Roman"/>
          <w:b/>
        </w:rPr>
        <w:t xml:space="preserve"> </w:t>
      </w:r>
      <w:r w:rsidRPr="0089316C">
        <w:rPr>
          <w:rFonts w:ascii="Times New Roman" w:hAnsi="Times New Roman" w:cs="Times New Roman"/>
        </w:rPr>
        <w:t xml:space="preserve">Teknik şartnamelerde amaç, teknik istekleri açıkça belirtmektir. </w:t>
      </w:r>
      <w:r w:rsidR="001B6E1C">
        <w:rPr>
          <w:rFonts w:ascii="Times New Roman" w:hAnsi="Times New Roman" w:cs="Times New Roman"/>
        </w:rPr>
        <w:t>Teknik şartname hazırlanırken</w:t>
      </w:r>
      <w:r w:rsidRPr="0089316C">
        <w:rPr>
          <w:rFonts w:ascii="Times New Roman" w:hAnsi="Times New Roman" w:cs="Times New Roman"/>
        </w:rPr>
        <w:t xml:space="preserve">; basit </w:t>
      </w:r>
      <w:proofErr w:type="gramStart"/>
      <w:r w:rsidRPr="0089316C">
        <w:rPr>
          <w:rFonts w:ascii="Times New Roman" w:hAnsi="Times New Roman" w:cs="Times New Roman"/>
        </w:rPr>
        <w:t>ve</w:t>
      </w:r>
      <w:proofErr w:type="gramEnd"/>
      <w:r w:rsidRPr="0089316C">
        <w:rPr>
          <w:rFonts w:ascii="Times New Roman" w:hAnsi="Times New Roman" w:cs="Times New Roman"/>
        </w:rPr>
        <w:t xml:space="preserve"> herkes tarafından kolayca anlaşılır kelimeler, karmaşık olmayan, yorumlamaya gerek göstermeyecek kısa ifadeler veya kısa cümleler kullanılmalıdır</w:t>
      </w:r>
      <w:r w:rsidR="0055785D">
        <w:rPr>
          <w:rFonts w:ascii="Times New Roman" w:hAnsi="Times New Roman" w:cs="Times New Roman"/>
        </w:rPr>
        <w:t>.</w:t>
      </w:r>
      <w:r w:rsidR="001B6E1C">
        <w:rPr>
          <w:rFonts w:ascii="Times New Roman" w:hAnsi="Times New Roman" w:cs="Times New Roman"/>
        </w:rPr>
        <w:t xml:space="preserve"> </w:t>
      </w:r>
      <w:r w:rsidR="00313265" w:rsidRPr="0089316C">
        <w:rPr>
          <w:rFonts w:ascii="Times New Roman" w:hAnsi="Times New Roman" w:cs="Times New Roman"/>
        </w:rPr>
        <w:t>İhtiyacı karşılayan mal veya hizmetin numune alma,  denetim ve muayene yöntemlerini, ret ve kabul kriterlerini, varsa ürüne ait kalite güvencesi ile ilgili hususları,  kullanım şartlarını,  işletme ve bakım özelliklerini,  ambalajlama, etiketleme, taşıma ve depolama gereksinimlerini,  garanti ile ilgili hususları içeren,  tedarikte serbest rekabeti engellemeyecek ve bütün istekliler için fırsat eşitliği sağlayacak biçimde hazırlanan</w:t>
      </w:r>
      <w:r w:rsidR="00313265">
        <w:rPr>
          <w:rFonts w:ascii="Times New Roman" w:hAnsi="Times New Roman" w:cs="Times New Roman"/>
        </w:rPr>
        <w:t xml:space="preserve"> teknik şartnameler,</w:t>
      </w:r>
      <w:r w:rsidR="00313265" w:rsidRPr="0089316C">
        <w:rPr>
          <w:rFonts w:ascii="Times New Roman" w:hAnsi="Times New Roman" w:cs="Times New Roman"/>
        </w:rPr>
        <w:t xml:space="preserve"> tedarik işlemlerine esas ve temel teşkil eden teknik doküman olmalıdır.</w:t>
      </w:r>
    </w:p>
    <w:p w:rsidR="00313265" w:rsidRDefault="00313265" w:rsidP="00351818">
      <w:pPr>
        <w:jc w:val="both"/>
        <w:rPr>
          <w:rFonts w:ascii="Times New Roman" w:hAnsi="Times New Roman" w:cs="Times New Roman"/>
        </w:rPr>
      </w:pPr>
      <w:r w:rsidRPr="00313265">
        <w:rPr>
          <w:rFonts w:ascii="Times New Roman" w:hAnsi="Times New Roman" w:cs="Times New Roman"/>
          <w:b/>
        </w:rPr>
        <w:t>4.</w:t>
      </w:r>
      <w:r w:rsidR="00F47BA1">
        <w:rPr>
          <w:rFonts w:ascii="Times New Roman" w:hAnsi="Times New Roman" w:cs="Times New Roman"/>
          <w:b/>
        </w:rPr>
        <w:t xml:space="preserve"> </w:t>
      </w:r>
      <w:r w:rsidR="0055785D" w:rsidRPr="0089316C">
        <w:rPr>
          <w:rFonts w:ascii="Times New Roman" w:hAnsi="Times New Roman" w:cs="Times New Roman"/>
        </w:rPr>
        <w:t>Teknik şartname, tedarik edilecek malzemeyi çok değişik kalite seviyelerinde tanımlayan ve/veya malzeme kalitesini düşürecek serbestlik verici hükümler taşımamalıdır.</w:t>
      </w:r>
      <w:r w:rsidR="00C868B6">
        <w:rPr>
          <w:rFonts w:ascii="Times New Roman" w:hAnsi="Times New Roman" w:cs="Times New Roman"/>
        </w:rPr>
        <w:t xml:space="preserve"> </w:t>
      </w:r>
      <w:r w:rsidRPr="0089316C">
        <w:rPr>
          <w:rFonts w:ascii="Times New Roman" w:hAnsi="Times New Roman" w:cs="Times New Roman"/>
        </w:rPr>
        <w:t>Teknik şartname konusu olan mal veya hizmetin bölümlerinin taşıdığı özelliğe göre fiziksel, kimyasal, mikrobiyolojik, işletme, bakım ve mekanik özellikleri ayrıntılı istekler şeklinde tanımlanmalıdır. Bu özellikler; kütle, hacim, yerleşim ile ilgili boyutlar, asgari fiziksel, kimyasal ve mekanik özellikler, dayanıklılık faktörleri, duyarlılık faktörleri, korozyon, aşınma, vb.den korunma için gerekli önlemle</w:t>
      </w:r>
      <w:r w:rsidR="00706BF2">
        <w:rPr>
          <w:rFonts w:ascii="Times New Roman" w:hAnsi="Times New Roman" w:cs="Times New Roman"/>
        </w:rPr>
        <w:t xml:space="preserve">r, çalışan sağlığı ve güvenliği </w:t>
      </w:r>
      <w:r w:rsidR="00706BF2" w:rsidRPr="0089316C">
        <w:rPr>
          <w:rFonts w:ascii="Times New Roman" w:hAnsi="Times New Roman" w:cs="Times New Roman"/>
        </w:rPr>
        <w:t>kriterleri,</w:t>
      </w:r>
      <w:r w:rsidRPr="0089316C">
        <w:rPr>
          <w:rFonts w:ascii="Times New Roman" w:hAnsi="Times New Roman" w:cs="Times New Roman"/>
        </w:rPr>
        <w:t xml:space="preserve"> güvenilirlik, çalışma süresi, depolama (raf) ömrü, periyodik bakımlar gibi özellikler olabilir.</w:t>
      </w:r>
    </w:p>
    <w:p w:rsidR="00313265" w:rsidRDefault="00313265" w:rsidP="00351818">
      <w:pPr>
        <w:jc w:val="both"/>
        <w:rPr>
          <w:rFonts w:ascii="Times New Roman" w:hAnsi="Times New Roman" w:cs="Times New Roman"/>
        </w:rPr>
      </w:pPr>
      <w:r w:rsidRPr="00313265">
        <w:rPr>
          <w:rFonts w:ascii="Times New Roman" w:hAnsi="Times New Roman" w:cs="Times New Roman"/>
          <w:b/>
        </w:rPr>
        <w:t>5.</w:t>
      </w:r>
      <w:r w:rsidR="00F47BA1">
        <w:rPr>
          <w:rFonts w:ascii="Times New Roman" w:hAnsi="Times New Roman" w:cs="Times New Roman"/>
          <w:b/>
        </w:rPr>
        <w:t xml:space="preserve"> </w:t>
      </w:r>
      <w:r w:rsidRPr="0089316C">
        <w:rPr>
          <w:rFonts w:ascii="Times New Roman" w:hAnsi="Times New Roman" w:cs="Times New Roman"/>
        </w:rPr>
        <w:t>Çalışma, saklama, taşıma ortamındaki uygun olmayan çevre şartlarından etkilenebilecek malzeme için (elektronik, optik ve elektro-optik cihazlar, araç ve teçhizat gibi) söz konusu ortamlar ile ilgili istekler, bunların hangi şartlarda muayene edileceği hususu ile birlikte teknik şartnamelere yazılmalıdır. Bu ortamlar ile ilgili istekler; malzemenin kullanım, saklama, taşıma amacına göre, sıcaklık, basınç, rutubet, buz, kar, yağmur, rüzgâr, su ve tuz serpintisi, şok ve ivme, titreşim, gürültü, toz, kum, mikr</w:t>
      </w:r>
      <w:r>
        <w:rPr>
          <w:rFonts w:ascii="Times New Roman" w:hAnsi="Times New Roman" w:cs="Times New Roman"/>
        </w:rPr>
        <w:t>oorganizma, radyasyon, elektrik</w:t>
      </w:r>
      <w:r w:rsidRPr="0089316C">
        <w:rPr>
          <w:rFonts w:ascii="Times New Roman" w:hAnsi="Times New Roman" w:cs="Times New Roman"/>
        </w:rPr>
        <w:t>, manyetik ve elektromanyetik etkiler, kimyasal maddeler, vb. koşullardan etkilenmeleri gibi maruz kalabileceği çevre şartlarını kapsar. Söz konusu çevresel koşullara ilişkin testler, teknik şartnamenin kontrol ve muayene yöntemleri bölümünde açıklanmalıdır.</w:t>
      </w:r>
    </w:p>
    <w:p w:rsidR="0055785D" w:rsidRDefault="00313265" w:rsidP="0055785D">
      <w:pPr>
        <w:jc w:val="both"/>
        <w:rPr>
          <w:rFonts w:ascii="Times New Roman" w:hAnsi="Times New Roman" w:cs="Times New Roman"/>
        </w:rPr>
      </w:pPr>
      <w:r w:rsidRPr="00313265">
        <w:rPr>
          <w:rFonts w:ascii="Times New Roman" w:hAnsi="Times New Roman" w:cs="Times New Roman"/>
          <w:b/>
        </w:rPr>
        <w:t>6.</w:t>
      </w:r>
      <w:r w:rsidR="00F47BA1">
        <w:rPr>
          <w:rFonts w:ascii="Times New Roman" w:hAnsi="Times New Roman" w:cs="Times New Roman"/>
          <w:b/>
        </w:rPr>
        <w:t xml:space="preserve"> </w:t>
      </w:r>
      <w:r w:rsidR="0055785D" w:rsidRPr="0089316C">
        <w:rPr>
          <w:rFonts w:ascii="Times New Roman" w:hAnsi="Times New Roman" w:cs="Times New Roman"/>
        </w:rPr>
        <w:t xml:space="preserve">Gerek görüldüğünde, tedarik edilecek cihaz, malzeme ve teçhizat ile birlikte istenecek yedek parça ve sarf malzemesi, test ve ölçümleme cihazı ve ölçümleme için gerekli standart numune, bakım set ve </w:t>
      </w:r>
      <w:r w:rsidR="0055785D" w:rsidRPr="0089316C">
        <w:rPr>
          <w:rFonts w:ascii="Times New Roman" w:hAnsi="Times New Roman" w:cs="Times New Roman"/>
        </w:rPr>
        <w:lastRenderedPageBreak/>
        <w:t xml:space="preserve">avadanlığı, doküman </w:t>
      </w:r>
      <w:proofErr w:type="gramStart"/>
      <w:r w:rsidR="0055785D" w:rsidRPr="0089316C">
        <w:rPr>
          <w:rFonts w:ascii="Times New Roman" w:hAnsi="Times New Roman" w:cs="Times New Roman"/>
        </w:rPr>
        <w:t>(</w:t>
      </w:r>
      <w:proofErr w:type="gramEnd"/>
      <w:r w:rsidR="0055785D" w:rsidRPr="0089316C">
        <w:rPr>
          <w:rFonts w:ascii="Times New Roman" w:hAnsi="Times New Roman" w:cs="Times New Roman"/>
        </w:rPr>
        <w:t xml:space="preserve">kullanma kılavuzu, yedek parça </w:t>
      </w:r>
      <w:proofErr w:type="spellStart"/>
      <w:r w:rsidR="0055785D" w:rsidRPr="0089316C">
        <w:rPr>
          <w:rFonts w:ascii="Times New Roman" w:hAnsi="Times New Roman" w:cs="Times New Roman"/>
        </w:rPr>
        <w:t>katalogu</w:t>
      </w:r>
      <w:proofErr w:type="spellEnd"/>
      <w:r w:rsidR="0055785D" w:rsidRPr="0089316C">
        <w:rPr>
          <w:rFonts w:ascii="Times New Roman" w:hAnsi="Times New Roman" w:cs="Times New Roman"/>
        </w:rPr>
        <w:t xml:space="preserve">, bakım talimatı, </w:t>
      </w:r>
      <w:proofErr w:type="spellStart"/>
      <w:r w:rsidR="0055785D" w:rsidRPr="0089316C">
        <w:rPr>
          <w:rFonts w:ascii="Times New Roman" w:hAnsi="Times New Roman" w:cs="Times New Roman"/>
        </w:rPr>
        <w:t>v</w:t>
      </w:r>
      <w:r w:rsidR="00C868B6">
        <w:rPr>
          <w:rFonts w:ascii="Times New Roman" w:hAnsi="Times New Roman" w:cs="Times New Roman"/>
        </w:rPr>
        <w:t>s</w:t>
      </w:r>
      <w:proofErr w:type="spellEnd"/>
      <w:r w:rsidR="0055785D" w:rsidRPr="0089316C">
        <w:rPr>
          <w:rFonts w:ascii="Times New Roman" w:hAnsi="Times New Roman" w:cs="Times New Roman"/>
        </w:rPr>
        <w:t>, vb. ile ilgili teknik hususlar teknik şartnameye</w:t>
      </w:r>
      <w:r w:rsidR="00C868B6">
        <w:rPr>
          <w:rFonts w:ascii="Times New Roman" w:hAnsi="Times New Roman" w:cs="Times New Roman"/>
        </w:rPr>
        <w:t xml:space="preserve"> </w:t>
      </w:r>
      <w:r w:rsidR="00C868B6" w:rsidRPr="0089316C">
        <w:rPr>
          <w:rFonts w:ascii="Times New Roman" w:hAnsi="Times New Roman" w:cs="Times New Roman"/>
        </w:rPr>
        <w:t>dâhi</w:t>
      </w:r>
      <w:r w:rsidR="00C868B6">
        <w:rPr>
          <w:rFonts w:ascii="Times New Roman" w:hAnsi="Times New Roman" w:cs="Times New Roman"/>
        </w:rPr>
        <w:t>l e</w:t>
      </w:r>
      <w:r w:rsidR="0055785D" w:rsidRPr="0089316C">
        <w:rPr>
          <w:rFonts w:ascii="Times New Roman" w:hAnsi="Times New Roman" w:cs="Times New Roman"/>
        </w:rPr>
        <w:t>dilmelidir.</w:t>
      </w:r>
    </w:p>
    <w:p w:rsidR="00351818" w:rsidRDefault="00313265" w:rsidP="00351818">
      <w:pPr>
        <w:jc w:val="both"/>
        <w:rPr>
          <w:rFonts w:ascii="Times New Roman" w:hAnsi="Times New Roman" w:cs="Times New Roman"/>
        </w:rPr>
      </w:pPr>
      <w:r w:rsidRPr="00313265">
        <w:rPr>
          <w:rFonts w:ascii="Times New Roman" w:hAnsi="Times New Roman" w:cs="Times New Roman"/>
          <w:b/>
        </w:rPr>
        <w:t>7.</w:t>
      </w:r>
      <w:r>
        <w:rPr>
          <w:rFonts w:ascii="Times New Roman" w:hAnsi="Times New Roman" w:cs="Times New Roman"/>
        </w:rPr>
        <w:t xml:space="preserve"> İ</w:t>
      </w:r>
      <w:r w:rsidR="00351818" w:rsidRPr="0089316C">
        <w:rPr>
          <w:rFonts w:ascii="Times New Roman" w:hAnsi="Times New Roman" w:cs="Times New Roman"/>
        </w:rPr>
        <w:t>hale konusu mal alımının her türlü özelliğini belirten teknik şartnamelerin idarelerce</w:t>
      </w:r>
      <w:r w:rsidR="00C868B6">
        <w:rPr>
          <w:rFonts w:ascii="Times New Roman" w:hAnsi="Times New Roman" w:cs="Times New Roman"/>
        </w:rPr>
        <w:t xml:space="preserve"> </w:t>
      </w:r>
      <w:r w:rsidR="00351818" w:rsidRPr="0089316C">
        <w:rPr>
          <w:rFonts w:ascii="Times New Roman" w:hAnsi="Times New Roman" w:cs="Times New Roman"/>
        </w:rPr>
        <w:t xml:space="preserve">hazırlanması esastır.  </w:t>
      </w:r>
      <w:r w:rsidR="00F765B4" w:rsidRPr="0089316C">
        <w:rPr>
          <w:rFonts w:ascii="Times New Roman" w:hAnsi="Times New Roman" w:cs="Times New Roman"/>
        </w:rPr>
        <w:t>Ancak, alınacak malın özelliği nedeniyle idarelerce</w:t>
      </w:r>
      <w:r w:rsidR="00F765B4">
        <w:rPr>
          <w:rFonts w:ascii="Times New Roman" w:hAnsi="Times New Roman" w:cs="Times New Roman"/>
        </w:rPr>
        <w:t xml:space="preserve"> h</w:t>
      </w:r>
      <w:r w:rsidR="00351818" w:rsidRPr="0089316C">
        <w:rPr>
          <w:rFonts w:ascii="Times New Roman" w:hAnsi="Times New Roman" w:cs="Times New Roman"/>
        </w:rPr>
        <w:t>azırlanmasının mümkün olmadığının ihale yetkilisi tarafından onaylanması kaydıyla, teknik şartnameler 4734 sayılı Kanun hükümlerine uygun olarak danışmanlık hizmet sunucularına ihale yoluyla hazırlattırılabilir.</w:t>
      </w:r>
    </w:p>
    <w:p w:rsidR="0055785D" w:rsidRPr="00B402AC" w:rsidRDefault="00313265" w:rsidP="00351818">
      <w:pPr>
        <w:jc w:val="both"/>
        <w:rPr>
          <w:rFonts w:ascii="Times New Roman" w:hAnsi="Times New Roman" w:cs="Times New Roman"/>
        </w:rPr>
      </w:pPr>
      <w:r w:rsidRPr="00313265">
        <w:rPr>
          <w:rFonts w:ascii="Times New Roman" w:hAnsi="Times New Roman" w:cs="Times New Roman"/>
          <w:b/>
        </w:rPr>
        <w:t>8.</w:t>
      </w:r>
      <w:r w:rsidR="00F47BA1">
        <w:rPr>
          <w:rFonts w:ascii="Times New Roman" w:hAnsi="Times New Roman" w:cs="Times New Roman"/>
          <w:b/>
        </w:rPr>
        <w:t xml:space="preserve"> </w:t>
      </w:r>
      <w:r w:rsidR="00351818" w:rsidRPr="0089316C">
        <w:rPr>
          <w:rFonts w:ascii="Times New Roman" w:hAnsi="Times New Roman" w:cs="Times New Roman"/>
        </w:rPr>
        <w:t xml:space="preserve">Teknik şartnamelerin </w:t>
      </w:r>
      <w:r w:rsidR="00351818" w:rsidRPr="00B402AC">
        <w:rPr>
          <w:rFonts w:ascii="Times New Roman" w:hAnsi="Times New Roman" w:cs="Times New Roman"/>
        </w:rPr>
        <w:t xml:space="preserve">alanında uzman </w:t>
      </w:r>
      <w:r w:rsidR="0055785D" w:rsidRPr="00B402AC">
        <w:rPr>
          <w:rFonts w:ascii="Times New Roman" w:hAnsi="Times New Roman" w:cs="Times New Roman"/>
        </w:rPr>
        <w:t>kişiler</w:t>
      </w:r>
      <w:r w:rsidR="00351818" w:rsidRPr="00B402AC">
        <w:rPr>
          <w:rFonts w:ascii="Times New Roman" w:hAnsi="Times New Roman" w:cs="Times New Roman"/>
        </w:rPr>
        <w:t xml:space="preserve"> tarafından düzenlenmesi</w:t>
      </w:r>
      <w:r w:rsidR="0055785D" w:rsidRPr="00B402AC">
        <w:rPr>
          <w:rFonts w:ascii="Times New Roman" w:hAnsi="Times New Roman" w:cs="Times New Roman"/>
        </w:rPr>
        <w:t xml:space="preserve"> ve</w:t>
      </w:r>
      <w:r w:rsidR="00C868B6" w:rsidRPr="00B402AC">
        <w:rPr>
          <w:rFonts w:ascii="Times New Roman" w:hAnsi="Times New Roman" w:cs="Times New Roman"/>
        </w:rPr>
        <w:t xml:space="preserve"> </w:t>
      </w:r>
      <w:r w:rsidR="0055785D" w:rsidRPr="00B402AC">
        <w:rPr>
          <w:rFonts w:ascii="Times New Roman" w:hAnsi="Times New Roman" w:cs="Times New Roman"/>
        </w:rPr>
        <w:t xml:space="preserve">teknik şartnamelerde </w:t>
      </w:r>
      <w:r w:rsidR="00351818" w:rsidRPr="00B402AC">
        <w:rPr>
          <w:rFonts w:ascii="Times New Roman" w:hAnsi="Times New Roman" w:cs="Times New Roman"/>
        </w:rPr>
        <w:t>rekabeti engelleyici hükümlere kesinlikle yer verilmemesi</w:t>
      </w:r>
      <w:r w:rsidR="0055785D" w:rsidRPr="00B402AC">
        <w:rPr>
          <w:rFonts w:ascii="Times New Roman" w:hAnsi="Times New Roman" w:cs="Times New Roman"/>
        </w:rPr>
        <w:t xml:space="preserve"> gerekmektedir. Teknik şartnamelerde</w:t>
      </w:r>
      <w:r w:rsidR="00351818" w:rsidRPr="00B402AC">
        <w:rPr>
          <w:rFonts w:ascii="Times New Roman" w:hAnsi="Times New Roman" w:cs="Times New Roman"/>
        </w:rPr>
        <w:t xml:space="preserve"> yer alacak her husus; tereddüde, yanlış </w:t>
      </w:r>
      <w:r w:rsidR="00B402AC" w:rsidRPr="00B402AC">
        <w:rPr>
          <w:rFonts w:ascii="Times New Roman" w:hAnsi="Times New Roman" w:cs="Times New Roman"/>
        </w:rPr>
        <w:t>anlaşılmalara sebebiyet verecek şekilde olmamalı</w:t>
      </w:r>
      <w:r w:rsidR="00351818" w:rsidRPr="00B402AC">
        <w:rPr>
          <w:rFonts w:ascii="Times New Roman" w:hAnsi="Times New Roman" w:cs="Times New Roman"/>
        </w:rPr>
        <w:t xml:space="preserve"> ve bir </w:t>
      </w:r>
      <w:r w:rsidR="00B402AC" w:rsidRPr="00B402AC">
        <w:rPr>
          <w:rFonts w:ascii="Times New Roman" w:hAnsi="Times New Roman" w:cs="Times New Roman"/>
        </w:rPr>
        <w:t>talebin</w:t>
      </w:r>
      <w:r w:rsidR="00351818" w:rsidRPr="00B402AC">
        <w:rPr>
          <w:rFonts w:ascii="Times New Roman" w:hAnsi="Times New Roman" w:cs="Times New Roman"/>
        </w:rPr>
        <w:t xml:space="preserve"> diğeri ile çelişmesine imkân bırakmayacak şekilde açık ve </w:t>
      </w:r>
      <w:r w:rsidR="00671E9D">
        <w:rPr>
          <w:rFonts w:ascii="Times New Roman" w:hAnsi="Times New Roman" w:cs="Times New Roman"/>
        </w:rPr>
        <w:t>net</w:t>
      </w:r>
      <w:r w:rsidR="00351818" w:rsidRPr="00B402AC">
        <w:rPr>
          <w:rFonts w:ascii="Times New Roman" w:hAnsi="Times New Roman" w:cs="Times New Roman"/>
        </w:rPr>
        <w:t xml:space="preserve"> </w:t>
      </w:r>
      <w:r w:rsidR="0055785D" w:rsidRPr="00B402AC">
        <w:rPr>
          <w:rFonts w:ascii="Times New Roman" w:hAnsi="Times New Roman" w:cs="Times New Roman"/>
        </w:rPr>
        <w:t>olarak belirtilmelidir.</w:t>
      </w:r>
    </w:p>
    <w:p w:rsidR="00351818" w:rsidRDefault="00313265" w:rsidP="00351818">
      <w:pPr>
        <w:jc w:val="both"/>
        <w:rPr>
          <w:rFonts w:ascii="Times New Roman" w:hAnsi="Times New Roman" w:cs="Times New Roman"/>
        </w:rPr>
      </w:pPr>
      <w:r w:rsidRPr="00B402AC">
        <w:rPr>
          <w:rFonts w:ascii="Times New Roman" w:hAnsi="Times New Roman" w:cs="Times New Roman"/>
          <w:b/>
        </w:rPr>
        <w:t>9.</w:t>
      </w:r>
      <w:r w:rsidR="00F47BA1" w:rsidRPr="00B402AC">
        <w:rPr>
          <w:rFonts w:ascii="Times New Roman" w:hAnsi="Times New Roman" w:cs="Times New Roman"/>
          <w:b/>
        </w:rPr>
        <w:t xml:space="preserve"> </w:t>
      </w:r>
      <w:r w:rsidR="0055785D" w:rsidRPr="00B402AC">
        <w:rPr>
          <w:rFonts w:ascii="Times New Roman" w:hAnsi="Times New Roman" w:cs="Times New Roman"/>
        </w:rPr>
        <w:t>Teknik şartnamelerde; belli bir marka</w:t>
      </w:r>
      <w:r w:rsidR="0055785D" w:rsidRPr="0089316C">
        <w:rPr>
          <w:rFonts w:ascii="Times New Roman" w:hAnsi="Times New Roman" w:cs="Times New Roman"/>
        </w:rPr>
        <w:t>, model, patent, menşei, kaynak veya ürün tanımlanmamalı</w:t>
      </w:r>
      <w:r w:rsidR="0055785D">
        <w:rPr>
          <w:rFonts w:ascii="Times New Roman" w:hAnsi="Times New Roman" w:cs="Times New Roman"/>
        </w:rPr>
        <w:t>dır a</w:t>
      </w:r>
      <w:r w:rsidR="0055785D" w:rsidRPr="00C925BC">
        <w:rPr>
          <w:rFonts w:ascii="Times New Roman" w:hAnsi="Times New Roman" w:cs="Times New Roman"/>
        </w:rPr>
        <w:t>ncak, ulusal ve/veya uluslararası teknik standartların bulunmaması yada teknik özelliklerin belirlenmesinin mümkün olmaması veya birimde var olan bir cihazın parça veya parçalarının istenilmesi hallerinde "veya dengi" ifadesine yer verilmek şartıyla marka veya model belirtilebilir</w:t>
      </w:r>
      <w:r w:rsidR="0055785D">
        <w:rPr>
          <w:rFonts w:ascii="Times New Roman" w:hAnsi="Times New Roman" w:cs="Times New Roman"/>
        </w:rPr>
        <w:t>.</w:t>
      </w:r>
    </w:p>
    <w:p w:rsidR="0055785D" w:rsidRPr="0089316C" w:rsidRDefault="00313265" w:rsidP="0055785D">
      <w:pPr>
        <w:jc w:val="both"/>
        <w:rPr>
          <w:rFonts w:ascii="Times New Roman" w:hAnsi="Times New Roman" w:cs="Times New Roman"/>
        </w:rPr>
      </w:pPr>
      <w:r w:rsidRPr="00313265">
        <w:rPr>
          <w:rFonts w:ascii="Times New Roman" w:hAnsi="Times New Roman" w:cs="Times New Roman"/>
          <w:b/>
        </w:rPr>
        <w:t>10.</w:t>
      </w:r>
      <w:r w:rsidR="00F47BA1">
        <w:rPr>
          <w:rFonts w:ascii="Times New Roman" w:hAnsi="Times New Roman" w:cs="Times New Roman"/>
          <w:b/>
        </w:rPr>
        <w:t xml:space="preserve"> </w:t>
      </w:r>
      <w:r w:rsidR="0055785D" w:rsidRPr="0089316C">
        <w:rPr>
          <w:rFonts w:ascii="Times New Roman" w:hAnsi="Times New Roman" w:cs="Times New Roman"/>
        </w:rPr>
        <w:t xml:space="preserve">Yedek parça alımlarında parçayı tanımlama ve asıl </w:t>
      </w:r>
      <w:r w:rsidR="00EB511A" w:rsidRPr="0089316C">
        <w:rPr>
          <w:rFonts w:ascii="Times New Roman" w:hAnsi="Times New Roman" w:cs="Times New Roman"/>
        </w:rPr>
        <w:t>ürüne entegresi konusunda</w:t>
      </w:r>
      <w:r w:rsidR="0055785D" w:rsidRPr="0089316C">
        <w:rPr>
          <w:rFonts w:ascii="Times New Roman" w:hAnsi="Times New Roman" w:cs="Times New Roman"/>
        </w:rPr>
        <w:t xml:space="preserve"> tereddütler yaşanmaması için, yedek parça alımlarında, ihale konusu işin tanımının yapılabilmesi için, yedek parçasına ihtiyaç duyulan ana malın marka ve modeli belirtilerek teknik şartname düzenlenebilecektir. </w:t>
      </w:r>
    </w:p>
    <w:p w:rsidR="0055785D" w:rsidRDefault="00313265" w:rsidP="0055785D">
      <w:pPr>
        <w:jc w:val="both"/>
        <w:rPr>
          <w:rFonts w:ascii="Times New Roman" w:hAnsi="Times New Roman" w:cs="Times New Roman"/>
        </w:rPr>
      </w:pPr>
      <w:r w:rsidRPr="00313265">
        <w:rPr>
          <w:rFonts w:ascii="Times New Roman" w:hAnsi="Times New Roman" w:cs="Times New Roman"/>
          <w:b/>
        </w:rPr>
        <w:t>11.</w:t>
      </w:r>
      <w:r w:rsidR="00F47BA1">
        <w:rPr>
          <w:rFonts w:ascii="Times New Roman" w:hAnsi="Times New Roman" w:cs="Times New Roman"/>
          <w:b/>
        </w:rPr>
        <w:t xml:space="preserve"> </w:t>
      </w:r>
      <w:r w:rsidR="0055785D" w:rsidRPr="0089316C">
        <w:rPr>
          <w:rFonts w:ascii="Times New Roman" w:hAnsi="Times New Roman" w:cs="Times New Roman"/>
        </w:rPr>
        <w:t xml:space="preserve">Teknik şartnamelerde Uluslararası Ölçü Birimleri Sistemine uygun birimler kullanılmalıdır. </w:t>
      </w:r>
      <w:r w:rsidR="0055785D">
        <w:rPr>
          <w:rFonts w:ascii="Times New Roman" w:hAnsi="Times New Roman" w:cs="Times New Roman"/>
        </w:rPr>
        <w:t>S</w:t>
      </w:r>
      <w:r w:rsidR="0055785D" w:rsidRPr="0089316C">
        <w:rPr>
          <w:rFonts w:ascii="Times New Roman" w:hAnsi="Times New Roman" w:cs="Times New Roman"/>
        </w:rPr>
        <w:t>ayılar ile ifade edilen teknik kriterlere mutlaka tolerans verilmeli, tolerans; "en az", "en çok" veya"+/- " şeklinde, o özelliğin gerektirdiği duyarlılığı sağlayacak miktar tespit edilerek verilmelidir. Belirlenecek teknik kriterler verimliliği ve fonksiyonelliği sağlamaya yönelik olmalıdır.</w:t>
      </w:r>
    </w:p>
    <w:p w:rsidR="00F112C3" w:rsidRPr="0089316C" w:rsidRDefault="00313265" w:rsidP="00351818">
      <w:pPr>
        <w:jc w:val="both"/>
        <w:rPr>
          <w:rFonts w:ascii="Times New Roman" w:hAnsi="Times New Roman" w:cs="Times New Roman"/>
        </w:rPr>
      </w:pPr>
      <w:r>
        <w:rPr>
          <w:rFonts w:ascii="Times New Roman" w:hAnsi="Times New Roman" w:cs="Times New Roman"/>
          <w:b/>
        </w:rPr>
        <w:t xml:space="preserve">12. </w:t>
      </w:r>
      <w:r w:rsidR="00F112C3" w:rsidRPr="0089316C">
        <w:rPr>
          <w:rFonts w:ascii="Times New Roman" w:hAnsi="Times New Roman" w:cs="Times New Roman"/>
        </w:rPr>
        <w:t xml:space="preserve">Teknik şartnameler en az 2 (iki), mümkünse daha fazla üretici firmanın ürününü kapsayacak ve böylece rekabet ortamını yaratacak şekilde hazırlanmalıdır. </w:t>
      </w:r>
    </w:p>
    <w:p w:rsidR="0089316C" w:rsidRPr="0089316C" w:rsidRDefault="00E96C61" w:rsidP="0089316C">
      <w:pPr>
        <w:jc w:val="both"/>
        <w:rPr>
          <w:rFonts w:ascii="Times New Roman" w:hAnsi="Times New Roman" w:cs="Times New Roman"/>
        </w:rPr>
      </w:pPr>
      <w:r w:rsidRPr="00221D6A">
        <w:rPr>
          <w:rFonts w:ascii="Times New Roman" w:hAnsi="Times New Roman" w:cs="Times New Roman"/>
          <w:b/>
        </w:rPr>
        <w:t>1</w:t>
      </w:r>
      <w:r w:rsidR="00313265">
        <w:rPr>
          <w:rFonts w:ascii="Times New Roman" w:hAnsi="Times New Roman" w:cs="Times New Roman"/>
          <w:b/>
        </w:rPr>
        <w:t>3</w:t>
      </w:r>
      <w:r w:rsidRPr="00221D6A">
        <w:rPr>
          <w:rFonts w:ascii="Times New Roman" w:hAnsi="Times New Roman" w:cs="Times New Roman"/>
          <w:b/>
        </w:rPr>
        <w:t>.</w:t>
      </w:r>
      <w:r w:rsidR="00F47BA1">
        <w:rPr>
          <w:rFonts w:ascii="Times New Roman" w:hAnsi="Times New Roman" w:cs="Times New Roman"/>
          <w:b/>
        </w:rPr>
        <w:t xml:space="preserve"> </w:t>
      </w:r>
      <w:r w:rsidR="0089316C" w:rsidRPr="0089316C">
        <w:rPr>
          <w:rFonts w:ascii="Times New Roman" w:hAnsi="Times New Roman" w:cs="Times New Roman"/>
        </w:rPr>
        <w:t>Teknik şartnamelerde; idari, hukuki, teknik olmayan isteklere yer verilmemelidir.</w:t>
      </w:r>
    </w:p>
    <w:p w:rsidR="0089316C" w:rsidRPr="0089316C" w:rsidRDefault="007F0AF8" w:rsidP="0089316C">
      <w:pPr>
        <w:jc w:val="both"/>
        <w:rPr>
          <w:rFonts w:ascii="Times New Roman" w:hAnsi="Times New Roman" w:cs="Times New Roman"/>
        </w:rPr>
      </w:pPr>
      <w:r w:rsidRPr="00221D6A">
        <w:rPr>
          <w:rFonts w:ascii="Times New Roman" w:hAnsi="Times New Roman" w:cs="Times New Roman"/>
          <w:b/>
        </w:rPr>
        <w:t>1</w:t>
      </w:r>
      <w:r w:rsidR="00313265">
        <w:rPr>
          <w:rFonts w:ascii="Times New Roman" w:hAnsi="Times New Roman" w:cs="Times New Roman"/>
          <w:b/>
        </w:rPr>
        <w:t>4</w:t>
      </w:r>
      <w:r w:rsidR="00E96C61" w:rsidRPr="00221D6A">
        <w:rPr>
          <w:rFonts w:ascii="Times New Roman" w:hAnsi="Times New Roman" w:cs="Times New Roman"/>
          <w:b/>
        </w:rPr>
        <w:t>.</w:t>
      </w:r>
      <w:r w:rsidR="00F47BA1">
        <w:rPr>
          <w:rFonts w:ascii="Times New Roman" w:hAnsi="Times New Roman" w:cs="Times New Roman"/>
          <w:b/>
        </w:rPr>
        <w:t xml:space="preserve"> </w:t>
      </w:r>
      <w:r w:rsidR="0089316C" w:rsidRPr="0089316C">
        <w:rPr>
          <w:rFonts w:ascii="Times New Roman" w:hAnsi="Times New Roman" w:cs="Times New Roman"/>
        </w:rPr>
        <w:t>Teknik istekler belirtilirken bazı dokümanlara atıf yapılması gerekiyorsa, bu dokümanların herkes tarafından yani, ihtiyaç sahibi makam, tedarik makamı, ihale komisyonu, muayene komisyonu ve istekli/yüklenici tarafından kolaylıkla ve çok zaman kaybetmeden temin edilip okunabilecek kaynaklar olmasına dikkat edilmelidir. (Örneğin; bir Türk Standardına, bir tüzük, yönerge veya kanuna atıf yapılabilir. Ancak bir yabancı ülkenin standardına vb. dokümanlara atıf yapılması halinde, atıf yapılan dokümanın adı, tarihi, ilgili sayfa ve paragraf numarası açıkça belirtilir ve varsa teknik şartnamede atıf yapılan ve herkes tarafından ulaşılamayacak standart ve teknik doküman, teknik şartnameye ek olarak konulmalıdır.</w:t>
      </w:r>
      <w:proofErr w:type="gramStart"/>
      <w:r w:rsidR="0089316C" w:rsidRPr="0089316C">
        <w:rPr>
          <w:rFonts w:ascii="Times New Roman" w:hAnsi="Times New Roman" w:cs="Times New Roman"/>
        </w:rPr>
        <w:t>)</w:t>
      </w:r>
      <w:proofErr w:type="gramEnd"/>
      <w:r w:rsidR="00313265" w:rsidRPr="0089316C">
        <w:rPr>
          <w:rFonts w:ascii="Times New Roman" w:hAnsi="Times New Roman" w:cs="Times New Roman"/>
        </w:rPr>
        <w:t>Teknik şartname hazırlanırken; ulusal, diğer ülke ve uluslararası standartlar, diğer ülkelerin normları ile uluslararası normlar, ulusal ve yabancı firmaların üretici katalogları, teknik dokümanı, araştırma, geliştirme, imal ve üretim yapan resmî kuruluşların, üniversitelerin, ticaret ve sanayi odalarının yayınları, tüzükler, yönergeler, kanunlar gibi doküman ve kaynakların uygun olanlarından faydalanılmalıdır.</w:t>
      </w:r>
      <w:r w:rsidR="00BD375B">
        <w:rPr>
          <w:rFonts w:ascii="Times New Roman" w:hAnsi="Times New Roman" w:cs="Times New Roman"/>
        </w:rPr>
        <w:t xml:space="preserve"> </w:t>
      </w:r>
      <w:r w:rsidR="00C222F7">
        <w:rPr>
          <w:rFonts w:ascii="Times New Roman" w:hAnsi="Times New Roman" w:cs="Times New Roman"/>
        </w:rPr>
        <w:t>Teknik şartnamesi hazırlanacak malzeme için g</w:t>
      </w:r>
      <w:r w:rsidR="00C222F7" w:rsidRPr="00C222F7">
        <w:rPr>
          <w:rFonts w:ascii="Times New Roman" w:hAnsi="Times New Roman" w:cs="Times New Roman"/>
        </w:rPr>
        <w:t>erekli ise, kalite güvence sistemi belgesi ve ürün kalite belgesi hususları belirtilmelidir.</w:t>
      </w:r>
    </w:p>
    <w:p w:rsidR="00313265" w:rsidRPr="00313265" w:rsidRDefault="00B24C76" w:rsidP="0089316C">
      <w:pPr>
        <w:jc w:val="both"/>
        <w:rPr>
          <w:rFonts w:ascii="Times New Roman" w:hAnsi="Times New Roman" w:cs="Times New Roman"/>
        </w:rPr>
      </w:pPr>
      <w:r w:rsidRPr="00221D6A">
        <w:rPr>
          <w:rFonts w:ascii="Times New Roman" w:hAnsi="Times New Roman" w:cs="Times New Roman"/>
          <w:b/>
        </w:rPr>
        <w:lastRenderedPageBreak/>
        <w:t>1</w:t>
      </w:r>
      <w:r w:rsidR="00313265">
        <w:rPr>
          <w:rFonts w:ascii="Times New Roman" w:hAnsi="Times New Roman" w:cs="Times New Roman"/>
          <w:b/>
        </w:rPr>
        <w:t>5</w:t>
      </w:r>
      <w:r w:rsidR="00E96C61" w:rsidRPr="00221D6A">
        <w:rPr>
          <w:rFonts w:ascii="Times New Roman" w:hAnsi="Times New Roman" w:cs="Times New Roman"/>
          <w:b/>
        </w:rPr>
        <w:t>.</w:t>
      </w:r>
      <w:r w:rsidR="00F47BA1">
        <w:rPr>
          <w:rFonts w:ascii="Times New Roman" w:hAnsi="Times New Roman" w:cs="Times New Roman"/>
          <w:b/>
        </w:rPr>
        <w:t xml:space="preserve"> </w:t>
      </w:r>
      <w:r w:rsidR="0089316C" w:rsidRPr="0089316C">
        <w:rPr>
          <w:rFonts w:ascii="Times New Roman" w:hAnsi="Times New Roman" w:cs="Times New Roman"/>
        </w:rPr>
        <w:t>Teknik şartnamede yer verilen her bir istek ve özellik için, teknik olarak; o özelliğin nasıl muayene edileceğine ve ölçüleceğine dair, mutlaka bir muayene ve/veya test yöntemi belirtilmelidir, re</w:t>
      </w:r>
      <w:r w:rsidR="00C868B6">
        <w:rPr>
          <w:rFonts w:ascii="Times New Roman" w:hAnsi="Times New Roman" w:cs="Times New Roman"/>
        </w:rPr>
        <w:t xml:space="preserve">t </w:t>
      </w:r>
      <w:r w:rsidR="0089316C" w:rsidRPr="0089316C">
        <w:rPr>
          <w:rFonts w:ascii="Times New Roman" w:hAnsi="Times New Roman" w:cs="Times New Roman"/>
        </w:rPr>
        <w:t>kabul kriterleri ve gerek görülen diğer detay bilgiler açıkça belirtilmelidir.</w:t>
      </w:r>
    </w:p>
    <w:p w:rsidR="007F0AF8" w:rsidRDefault="008E0359" w:rsidP="0089316C">
      <w:pPr>
        <w:jc w:val="both"/>
        <w:rPr>
          <w:rFonts w:ascii="Times New Roman" w:hAnsi="Times New Roman" w:cs="Times New Roman"/>
        </w:rPr>
      </w:pPr>
      <w:r>
        <w:rPr>
          <w:rFonts w:ascii="Times New Roman" w:hAnsi="Times New Roman" w:cs="Times New Roman"/>
          <w:b/>
        </w:rPr>
        <w:t>1</w:t>
      </w:r>
      <w:r w:rsidR="00313265">
        <w:rPr>
          <w:rFonts w:ascii="Times New Roman" w:hAnsi="Times New Roman" w:cs="Times New Roman"/>
          <w:b/>
        </w:rPr>
        <w:t>6</w:t>
      </w:r>
      <w:r w:rsidR="0089316C" w:rsidRPr="00221D6A">
        <w:rPr>
          <w:rFonts w:ascii="Times New Roman" w:hAnsi="Times New Roman" w:cs="Times New Roman"/>
          <w:b/>
        </w:rPr>
        <w:t>.</w:t>
      </w:r>
      <w:r w:rsidR="00F47BA1">
        <w:rPr>
          <w:rFonts w:ascii="Times New Roman" w:hAnsi="Times New Roman" w:cs="Times New Roman"/>
          <w:b/>
        </w:rPr>
        <w:t xml:space="preserve"> </w:t>
      </w:r>
      <w:r w:rsidR="00A37DD9" w:rsidRPr="0089316C">
        <w:rPr>
          <w:rFonts w:ascii="Times New Roman" w:hAnsi="Times New Roman" w:cs="Times New Roman"/>
        </w:rPr>
        <w:t>Cihaz alımlarında en az iki yıl garanti şartı konulmalıdır. İki yıldan fazla garanti istenildiği takdirde ayrıca b</w:t>
      </w:r>
      <w:r w:rsidR="001B6E1C">
        <w:rPr>
          <w:rFonts w:ascii="Times New Roman" w:hAnsi="Times New Roman" w:cs="Times New Roman"/>
        </w:rPr>
        <w:t>elirtilmelidir</w:t>
      </w:r>
      <w:r w:rsidR="00A37DD9" w:rsidRPr="0089316C">
        <w:rPr>
          <w:rFonts w:ascii="Times New Roman" w:hAnsi="Times New Roman" w:cs="Times New Roman"/>
        </w:rPr>
        <w:t>. Gerekli ise, cihazlarla ilgili kaç yıl süreyle yedek parça garantisi istenildiği belirtilmelidir.</w:t>
      </w:r>
    </w:p>
    <w:p w:rsidR="00135D12" w:rsidRDefault="00313265" w:rsidP="0089316C">
      <w:pPr>
        <w:jc w:val="both"/>
        <w:rPr>
          <w:rFonts w:ascii="Times New Roman" w:hAnsi="Times New Roman" w:cs="Times New Roman"/>
        </w:rPr>
      </w:pPr>
      <w:r>
        <w:rPr>
          <w:rFonts w:ascii="Times New Roman" w:hAnsi="Times New Roman" w:cs="Times New Roman"/>
          <w:b/>
        </w:rPr>
        <w:t>17</w:t>
      </w:r>
      <w:r w:rsidR="0089316C" w:rsidRPr="00221D6A">
        <w:rPr>
          <w:rFonts w:ascii="Times New Roman" w:hAnsi="Times New Roman" w:cs="Times New Roman"/>
          <w:b/>
        </w:rPr>
        <w:t>.</w:t>
      </w:r>
      <w:r w:rsidR="00F47BA1">
        <w:rPr>
          <w:rFonts w:ascii="Times New Roman" w:hAnsi="Times New Roman" w:cs="Times New Roman"/>
          <w:b/>
        </w:rPr>
        <w:t xml:space="preserve"> </w:t>
      </w:r>
      <w:r w:rsidR="001B6E1C" w:rsidRPr="001B6E1C">
        <w:rPr>
          <w:rFonts w:ascii="Times New Roman" w:hAnsi="Times New Roman" w:cs="Times New Roman"/>
        </w:rPr>
        <w:t>4734 sayılı Kamu İhale Kanununa</w:t>
      </w:r>
      <w:r w:rsidR="001B6E1C">
        <w:rPr>
          <w:rFonts w:ascii="Times New Roman" w:hAnsi="Times New Roman" w:cs="Times New Roman"/>
          <w:b/>
        </w:rPr>
        <w:t xml:space="preserve"> </w:t>
      </w:r>
      <w:r w:rsidR="0089316C" w:rsidRPr="0089316C">
        <w:rPr>
          <w:rFonts w:ascii="Times New Roman" w:hAnsi="Times New Roman" w:cs="Times New Roman"/>
        </w:rPr>
        <w:t xml:space="preserve">göre ihalenin en düşük fiyat esasına göre mi yoksa fiyat dışı unsurlara göre mi yapılacağı belirtilmelidir. İhalenin fiyat dışı unsur esasına göre yapılması öngörülüyor ise bu unsurların neler olduğu ve parasal değerleri belirtilmelidir. </w:t>
      </w:r>
    </w:p>
    <w:p w:rsidR="00135D12" w:rsidRDefault="0089316C" w:rsidP="0089316C">
      <w:pPr>
        <w:jc w:val="both"/>
        <w:rPr>
          <w:rFonts w:ascii="Times New Roman" w:hAnsi="Times New Roman" w:cs="Times New Roman"/>
        </w:rPr>
      </w:pPr>
      <w:r w:rsidRPr="0089316C">
        <w:rPr>
          <w:rFonts w:ascii="Times New Roman" w:hAnsi="Times New Roman" w:cs="Times New Roman"/>
        </w:rPr>
        <w:t xml:space="preserve">Fiyat dışı unsurlar şunlardır: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1.</w:t>
      </w:r>
      <w:r w:rsidR="0089316C" w:rsidRPr="0089316C">
        <w:rPr>
          <w:rFonts w:ascii="Times New Roman" w:hAnsi="Times New Roman" w:cs="Times New Roman"/>
        </w:rPr>
        <w:t xml:space="preserve"> İşletme ve bakım maliyetleri </w:t>
      </w:r>
    </w:p>
    <w:p w:rsidR="00135D12" w:rsidRDefault="0089316C" w:rsidP="00313265">
      <w:pPr>
        <w:ind w:left="708" w:firstLine="708"/>
        <w:jc w:val="both"/>
        <w:rPr>
          <w:rFonts w:ascii="Times New Roman" w:hAnsi="Times New Roman" w:cs="Times New Roman"/>
        </w:rPr>
      </w:pPr>
      <w:r w:rsidRPr="00221D6A">
        <w:rPr>
          <w:rFonts w:ascii="Times New Roman" w:hAnsi="Times New Roman" w:cs="Times New Roman"/>
          <w:b/>
        </w:rPr>
        <w:t xml:space="preserve">a) </w:t>
      </w:r>
      <w:r w:rsidRPr="0089316C">
        <w:rPr>
          <w:rFonts w:ascii="Times New Roman" w:hAnsi="Times New Roman" w:cs="Times New Roman"/>
        </w:rPr>
        <w:t xml:space="preserve">Periyodik bakım aralıkları </w:t>
      </w:r>
    </w:p>
    <w:p w:rsidR="00135D12" w:rsidRDefault="0089316C" w:rsidP="00313265">
      <w:pPr>
        <w:ind w:left="708" w:firstLine="708"/>
        <w:jc w:val="both"/>
        <w:rPr>
          <w:rFonts w:ascii="Times New Roman" w:hAnsi="Times New Roman" w:cs="Times New Roman"/>
        </w:rPr>
      </w:pPr>
      <w:r w:rsidRPr="00221D6A">
        <w:rPr>
          <w:rFonts w:ascii="Times New Roman" w:hAnsi="Times New Roman" w:cs="Times New Roman"/>
          <w:b/>
        </w:rPr>
        <w:t>b)</w:t>
      </w:r>
      <w:r w:rsidRPr="0089316C">
        <w:rPr>
          <w:rFonts w:ascii="Times New Roman" w:hAnsi="Times New Roman" w:cs="Times New Roman"/>
        </w:rPr>
        <w:t xml:space="preserve"> Periyodik bakımların süreleri </w:t>
      </w:r>
    </w:p>
    <w:p w:rsidR="00135D12" w:rsidRDefault="0089316C" w:rsidP="00313265">
      <w:pPr>
        <w:ind w:left="708" w:firstLine="708"/>
        <w:jc w:val="both"/>
        <w:rPr>
          <w:rFonts w:ascii="Times New Roman" w:hAnsi="Times New Roman" w:cs="Times New Roman"/>
        </w:rPr>
      </w:pPr>
      <w:r w:rsidRPr="00221D6A">
        <w:rPr>
          <w:rFonts w:ascii="Times New Roman" w:hAnsi="Times New Roman" w:cs="Times New Roman"/>
          <w:b/>
        </w:rPr>
        <w:t>c)</w:t>
      </w:r>
      <w:r w:rsidRPr="0089316C">
        <w:rPr>
          <w:rFonts w:ascii="Times New Roman" w:hAnsi="Times New Roman" w:cs="Times New Roman"/>
        </w:rPr>
        <w:t xml:space="preserve"> Periyodik bakımda değişecek yedek parça ve sarf malzemelerinin maliyeti </w:t>
      </w:r>
    </w:p>
    <w:p w:rsidR="00135D12" w:rsidRDefault="0089316C" w:rsidP="00313265">
      <w:pPr>
        <w:ind w:left="708" w:firstLine="708"/>
        <w:jc w:val="both"/>
        <w:rPr>
          <w:rFonts w:ascii="Times New Roman" w:hAnsi="Times New Roman" w:cs="Times New Roman"/>
        </w:rPr>
      </w:pPr>
      <w:r w:rsidRPr="00221D6A">
        <w:rPr>
          <w:rFonts w:ascii="Times New Roman" w:hAnsi="Times New Roman" w:cs="Times New Roman"/>
          <w:b/>
        </w:rPr>
        <w:t>d)</w:t>
      </w:r>
      <w:r w:rsidRPr="0089316C">
        <w:rPr>
          <w:rFonts w:ascii="Times New Roman" w:hAnsi="Times New Roman" w:cs="Times New Roman"/>
        </w:rPr>
        <w:t xml:space="preserve"> Periyodik bakımların işçilik maliyeti </w:t>
      </w:r>
    </w:p>
    <w:p w:rsidR="00135D12" w:rsidRDefault="0089316C" w:rsidP="00313265">
      <w:pPr>
        <w:ind w:left="708" w:firstLine="708"/>
        <w:jc w:val="both"/>
        <w:rPr>
          <w:rFonts w:ascii="Times New Roman" w:hAnsi="Times New Roman" w:cs="Times New Roman"/>
        </w:rPr>
      </w:pPr>
      <w:r w:rsidRPr="00221D6A">
        <w:rPr>
          <w:rFonts w:ascii="Times New Roman" w:hAnsi="Times New Roman" w:cs="Times New Roman"/>
          <w:b/>
        </w:rPr>
        <w:t>e)</w:t>
      </w:r>
      <w:r w:rsidRPr="0089316C">
        <w:rPr>
          <w:rFonts w:ascii="Times New Roman" w:hAnsi="Times New Roman" w:cs="Times New Roman"/>
        </w:rPr>
        <w:t xml:space="preserve"> İdarenin arıza, hasar veya kullanım ömrünün (süresinin) dolması nedeniyle ihtiyaç duyacağı ve halen elinde bulunan benzer mallarla ilgili mevcut veriler esas alınmak suretiyle belirli bir çalışma süresi içinde alınması öngörülen yedek parçaların maliyeti,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2.</w:t>
      </w:r>
      <w:r w:rsidR="0089316C" w:rsidRPr="0089316C">
        <w:rPr>
          <w:rFonts w:ascii="Times New Roman" w:hAnsi="Times New Roman" w:cs="Times New Roman"/>
        </w:rPr>
        <w:t xml:space="preserve"> Maliyet etkinliği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3.</w:t>
      </w:r>
      <w:r w:rsidR="0089316C" w:rsidRPr="0089316C">
        <w:rPr>
          <w:rFonts w:ascii="Times New Roman" w:hAnsi="Times New Roman" w:cs="Times New Roman"/>
        </w:rPr>
        <w:t xml:space="preserve"> Verimlilik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4.</w:t>
      </w:r>
      <w:r w:rsidR="0089316C" w:rsidRPr="0089316C">
        <w:rPr>
          <w:rFonts w:ascii="Times New Roman" w:hAnsi="Times New Roman" w:cs="Times New Roman"/>
        </w:rPr>
        <w:t xml:space="preserve"> Kalite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5.</w:t>
      </w:r>
      <w:r w:rsidR="0089316C" w:rsidRPr="0089316C">
        <w:rPr>
          <w:rFonts w:ascii="Times New Roman" w:hAnsi="Times New Roman" w:cs="Times New Roman"/>
        </w:rPr>
        <w:t xml:space="preserve"> Teknik değer </w:t>
      </w:r>
    </w:p>
    <w:p w:rsidR="00135D12" w:rsidRDefault="00313265" w:rsidP="00313265">
      <w:pPr>
        <w:ind w:firstLine="708"/>
        <w:jc w:val="both"/>
        <w:rPr>
          <w:rFonts w:ascii="Times New Roman" w:hAnsi="Times New Roman" w:cs="Times New Roman"/>
        </w:rPr>
      </w:pPr>
      <w:r>
        <w:rPr>
          <w:rFonts w:ascii="Times New Roman" w:hAnsi="Times New Roman" w:cs="Times New Roman"/>
          <w:b/>
        </w:rPr>
        <w:t>17</w:t>
      </w:r>
      <w:r w:rsidR="00B24C76" w:rsidRPr="00221D6A">
        <w:rPr>
          <w:rFonts w:ascii="Times New Roman" w:hAnsi="Times New Roman" w:cs="Times New Roman"/>
          <w:b/>
        </w:rPr>
        <w:t>.</w:t>
      </w:r>
      <w:r w:rsidR="0089316C" w:rsidRPr="00221D6A">
        <w:rPr>
          <w:rFonts w:ascii="Times New Roman" w:hAnsi="Times New Roman" w:cs="Times New Roman"/>
          <w:b/>
        </w:rPr>
        <w:t>6.</w:t>
      </w:r>
      <w:r w:rsidR="0089316C" w:rsidRPr="0089316C">
        <w:rPr>
          <w:rFonts w:ascii="Times New Roman" w:hAnsi="Times New Roman" w:cs="Times New Roman"/>
        </w:rPr>
        <w:t xml:space="preserve"> Özel ilave kriterler </w:t>
      </w:r>
    </w:p>
    <w:p w:rsidR="0089316C" w:rsidRPr="0089316C" w:rsidRDefault="00313265" w:rsidP="00313265">
      <w:pPr>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F47BA1">
        <w:rPr>
          <w:rFonts w:ascii="Times New Roman" w:hAnsi="Times New Roman" w:cs="Times New Roman"/>
          <w:b/>
        </w:rPr>
        <w:t xml:space="preserve"> </w:t>
      </w:r>
      <w:r w:rsidR="0089316C" w:rsidRPr="0089316C">
        <w:rPr>
          <w:rFonts w:ascii="Times New Roman" w:hAnsi="Times New Roman" w:cs="Times New Roman"/>
        </w:rPr>
        <w:t>T</w:t>
      </w:r>
      <w:r w:rsidR="00B24C76">
        <w:rPr>
          <w:rFonts w:ascii="Times New Roman" w:hAnsi="Times New Roman" w:cs="Times New Roman"/>
        </w:rPr>
        <w:t>eknik Şartnamede Değişiklik yapılması</w:t>
      </w:r>
      <w:r w:rsidR="00C868B6">
        <w:rPr>
          <w:rFonts w:ascii="Times New Roman" w:hAnsi="Times New Roman" w:cs="Times New Roman"/>
        </w:rPr>
        <w:t>;</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.1</w:t>
      </w:r>
      <w:r w:rsidR="007154F9">
        <w:rPr>
          <w:rFonts w:ascii="Times New Roman" w:hAnsi="Times New Roman" w:cs="Times New Roman"/>
        </w:rPr>
        <w:t xml:space="preserve"> S</w:t>
      </w:r>
      <w:r w:rsidR="0089316C" w:rsidRPr="0089316C">
        <w:rPr>
          <w:rFonts w:ascii="Times New Roman" w:hAnsi="Times New Roman" w:cs="Times New Roman"/>
        </w:rPr>
        <w:t xml:space="preserve">istemin performansını belirleyen test yöntemlerindeki yenilikler veya test yöntemlerinin uygulanmasından doğan değişiklik ihtiyacı. </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2</w:t>
      </w:r>
      <w:r w:rsidR="00F47BA1">
        <w:rPr>
          <w:rFonts w:ascii="Times New Roman" w:hAnsi="Times New Roman" w:cs="Times New Roman"/>
          <w:b/>
        </w:rPr>
        <w:t xml:space="preserve"> </w:t>
      </w:r>
      <w:r w:rsidR="0089316C" w:rsidRPr="0089316C">
        <w:rPr>
          <w:rFonts w:ascii="Times New Roman" w:hAnsi="Times New Roman" w:cs="Times New Roman"/>
        </w:rPr>
        <w:t xml:space="preserve">Teknik şartnamenin tanımladığı ürün için kanuni teknik sorumluluklarda </w:t>
      </w:r>
      <w:r w:rsidR="00212401">
        <w:rPr>
          <w:rFonts w:ascii="Times New Roman" w:hAnsi="Times New Roman" w:cs="Times New Roman"/>
        </w:rPr>
        <w:t xml:space="preserve">ihale sürecinde </w:t>
      </w:r>
      <w:r w:rsidR="0089316C" w:rsidRPr="0089316C">
        <w:rPr>
          <w:rFonts w:ascii="Times New Roman" w:hAnsi="Times New Roman" w:cs="Times New Roman"/>
        </w:rPr>
        <w:t xml:space="preserve">ortaya çıkan değişiklikler. </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3</w:t>
      </w:r>
      <w:r w:rsidR="00F47BA1">
        <w:rPr>
          <w:rFonts w:ascii="Times New Roman" w:hAnsi="Times New Roman" w:cs="Times New Roman"/>
          <w:b/>
        </w:rPr>
        <w:t xml:space="preserve"> </w:t>
      </w:r>
      <w:r w:rsidR="0089316C" w:rsidRPr="0089316C">
        <w:rPr>
          <w:rFonts w:ascii="Times New Roman" w:hAnsi="Times New Roman" w:cs="Times New Roman"/>
        </w:rPr>
        <w:t xml:space="preserve">Sehven yapılan yazım hataları. </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4</w:t>
      </w:r>
      <w:r w:rsidR="00F47BA1">
        <w:rPr>
          <w:rFonts w:ascii="Times New Roman" w:hAnsi="Times New Roman" w:cs="Times New Roman"/>
          <w:b/>
        </w:rPr>
        <w:t xml:space="preserve"> </w:t>
      </w:r>
      <w:r w:rsidR="0089316C" w:rsidRPr="0089316C">
        <w:rPr>
          <w:rFonts w:ascii="Times New Roman" w:hAnsi="Times New Roman" w:cs="Times New Roman"/>
        </w:rPr>
        <w:t xml:space="preserve">Yasalara göre rekabet sağlansa dahi, teknik şartnamenin daha fazla firma ürününe hitap etmesi konusundaki haklı başvurular. </w:t>
      </w:r>
    </w:p>
    <w:p w:rsidR="00135D12" w:rsidRDefault="00313265" w:rsidP="00313265">
      <w:pPr>
        <w:ind w:firstLine="708"/>
        <w:jc w:val="both"/>
        <w:rPr>
          <w:rFonts w:ascii="Times New Roman" w:hAnsi="Times New Roman" w:cs="Times New Roman"/>
        </w:rPr>
      </w:pPr>
      <w:r>
        <w:rPr>
          <w:rFonts w:ascii="Times New Roman" w:hAnsi="Times New Roman" w:cs="Times New Roman"/>
          <w:b/>
        </w:rPr>
        <w:lastRenderedPageBreak/>
        <w:t>18</w:t>
      </w:r>
      <w:r w:rsidR="00B24C76" w:rsidRPr="00221D6A">
        <w:rPr>
          <w:rFonts w:ascii="Times New Roman" w:hAnsi="Times New Roman" w:cs="Times New Roman"/>
          <w:b/>
        </w:rPr>
        <w:t>.</w:t>
      </w:r>
      <w:r w:rsidR="007154F9" w:rsidRPr="00221D6A">
        <w:rPr>
          <w:rFonts w:ascii="Times New Roman" w:hAnsi="Times New Roman" w:cs="Times New Roman"/>
          <w:b/>
        </w:rPr>
        <w:t>5</w:t>
      </w:r>
      <w:r w:rsidR="00F47BA1">
        <w:rPr>
          <w:rFonts w:ascii="Times New Roman" w:hAnsi="Times New Roman" w:cs="Times New Roman"/>
          <w:b/>
        </w:rPr>
        <w:t xml:space="preserve"> </w:t>
      </w:r>
      <w:r w:rsidR="0089316C" w:rsidRPr="0089316C">
        <w:rPr>
          <w:rFonts w:ascii="Times New Roman" w:hAnsi="Times New Roman" w:cs="Times New Roman"/>
        </w:rPr>
        <w:t xml:space="preserve">Teknolojik gelişmeler doğrultusunda, tedarik edilecek ürünün teknik özelliklerinin iyileştirilmesi ihtiyacı. </w:t>
      </w:r>
    </w:p>
    <w:p w:rsidR="007154F9"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6</w:t>
      </w:r>
      <w:r w:rsidR="007154F9">
        <w:rPr>
          <w:rFonts w:ascii="Times New Roman" w:hAnsi="Times New Roman" w:cs="Times New Roman"/>
        </w:rPr>
        <w:t xml:space="preserve"> T</w:t>
      </w:r>
      <w:r w:rsidR="0089316C" w:rsidRPr="0089316C">
        <w:rPr>
          <w:rFonts w:ascii="Times New Roman" w:hAnsi="Times New Roman" w:cs="Times New Roman"/>
        </w:rPr>
        <w:t>eknolojik gelişmelere para</w:t>
      </w:r>
      <w:r w:rsidR="007154F9">
        <w:rPr>
          <w:rFonts w:ascii="Times New Roman" w:hAnsi="Times New Roman" w:cs="Times New Roman"/>
        </w:rPr>
        <w:t xml:space="preserve">lel olarak, ürünün daha </w:t>
      </w:r>
      <w:r w:rsidR="00BB47A8">
        <w:rPr>
          <w:rFonts w:ascii="Times New Roman" w:hAnsi="Times New Roman" w:cs="Times New Roman"/>
        </w:rPr>
        <w:t>ekonomik</w:t>
      </w:r>
      <w:r w:rsidR="00C868B6">
        <w:rPr>
          <w:rFonts w:ascii="Times New Roman" w:hAnsi="Times New Roman" w:cs="Times New Roman"/>
        </w:rPr>
        <w:t xml:space="preserve"> </w:t>
      </w:r>
      <w:r w:rsidR="0089316C" w:rsidRPr="0089316C">
        <w:rPr>
          <w:rFonts w:ascii="Times New Roman" w:hAnsi="Times New Roman" w:cs="Times New Roman"/>
        </w:rPr>
        <w:t xml:space="preserve">olmasını gerektiren değişiklikler. </w:t>
      </w:r>
      <w:r w:rsidR="00C868B6">
        <w:rPr>
          <w:rFonts w:ascii="Times New Roman" w:hAnsi="Times New Roman" w:cs="Times New Roman"/>
        </w:rPr>
        <w:t xml:space="preserve"> </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7154F9" w:rsidRPr="00221D6A">
        <w:rPr>
          <w:rFonts w:ascii="Times New Roman" w:hAnsi="Times New Roman" w:cs="Times New Roman"/>
          <w:b/>
        </w:rPr>
        <w:t>.7</w:t>
      </w:r>
      <w:r w:rsidR="00F47BA1">
        <w:rPr>
          <w:rFonts w:ascii="Times New Roman" w:hAnsi="Times New Roman" w:cs="Times New Roman"/>
          <w:b/>
        </w:rPr>
        <w:t xml:space="preserve"> </w:t>
      </w:r>
      <w:r w:rsidR="0089316C" w:rsidRPr="0089316C">
        <w:rPr>
          <w:rFonts w:ascii="Times New Roman" w:hAnsi="Times New Roman" w:cs="Times New Roman"/>
        </w:rPr>
        <w:t xml:space="preserve">Teknik şartnamenin anlaşılmasındaki yorum farklılıklarının giderilmesine dair değişiklikler. </w:t>
      </w:r>
    </w:p>
    <w:p w:rsidR="00135D12" w:rsidRDefault="00313265" w:rsidP="00313265">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8</w:t>
      </w:r>
      <w:r w:rsidR="00F47BA1">
        <w:rPr>
          <w:rFonts w:ascii="Times New Roman" w:hAnsi="Times New Roman" w:cs="Times New Roman"/>
          <w:b/>
        </w:rPr>
        <w:t xml:space="preserve"> </w:t>
      </w:r>
      <w:r w:rsidR="0089316C" w:rsidRPr="0089316C">
        <w:rPr>
          <w:rFonts w:ascii="Times New Roman" w:hAnsi="Times New Roman" w:cs="Times New Roman"/>
        </w:rPr>
        <w:t xml:space="preserve">Teknik şartnamede yer verilen hususlardan bir veya birden fazla hususun teknik olarak yerine getirilemeyeceğinin ortaya çıkması. </w:t>
      </w:r>
    </w:p>
    <w:p w:rsidR="0089316C" w:rsidRPr="0089316C" w:rsidRDefault="00313265" w:rsidP="00B0572A">
      <w:pPr>
        <w:ind w:firstLine="708"/>
        <w:jc w:val="both"/>
        <w:rPr>
          <w:rFonts w:ascii="Times New Roman" w:hAnsi="Times New Roman" w:cs="Times New Roman"/>
        </w:rPr>
      </w:pPr>
      <w:r>
        <w:rPr>
          <w:rFonts w:ascii="Times New Roman" w:hAnsi="Times New Roman" w:cs="Times New Roman"/>
          <w:b/>
        </w:rPr>
        <w:t>18</w:t>
      </w:r>
      <w:r w:rsidR="00B24C76" w:rsidRPr="00221D6A">
        <w:rPr>
          <w:rFonts w:ascii="Times New Roman" w:hAnsi="Times New Roman" w:cs="Times New Roman"/>
          <w:b/>
        </w:rPr>
        <w:t>.</w:t>
      </w:r>
      <w:r w:rsidR="007154F9" w:rsidRPr="00221D6A">
        <w:rPr>
          <w:rFonts w:ascii="Times New Roman" w:hAnsi="Times New Roman" w:cs="Times New Roman"/>
          <w:b/>
        </w:rPr>
        <w:t>9</w:t>
      </w:r>
      <w:r w:rsidR="00F47BA1">
        <w:rPr>
          <w:rFonts w:ascii="Times New Roman" w:hAnsi="Times New Roman" w:cs="Times New Roman"/>
          <w:b/>
        </w:rPr>
        <w:t xml:space="preserve"> </w:t>
      </w:r>
      <w:r w:rsidR="0089316C" w:rsidRPr="0089316C">
        <w:rPr>
          <w:rFonts w:ascii="Times New Roman" w:hAnsi="Times New Roman" w:cs="Times New Roman"/>
        </w:rPr>
        <w:t>Teknik şartnamede rekabeti engelleyici hususların</w:t>
      </w:r>
      <w:r w:rsidR="00B0572A">
        <w:rPr>
          <w:rFonts w:ascii="Times New Roman" w:hAnsi="Times New Roman" w:cs="Times New Roman"/>
        </w:rPr>
        <w:t xml:space="preserve"> bulunduğunun belirlenmesi, vb. </w:t>
      </w:r>
      <w:r w:rsidR="0089316C" w:rsidRPr="0089316C">
        <w:rPr>
          <w:rFonts w:ascii="Times New Roman" w:hAnsi="Times New Roman" w:cs="Times New Roman"/>
        </w:rPr>
        <w:t>Şartnameyi hazırlayan maka</w:t>
      </w:r>
      <w:r w:rsidR="00C868B6">
        <w:rPr>
          <w:rFonts w:ascii="Times New Roman" w:hAnsi="Times New Roman" w:cs="Times New Roman"/>
        </w:rPr>
        <w:t>m, b</w:t>
      </w:r>
      <w:r w:rsidR="0089316C" w:rsidRPr="0089316C">
        <w:rPr>
          <w:rFonts w:ascii="Times New Roman" w:hAnsi="Times New Roman" w:cs="Times New Roman"/>
        </w:rPr>
        <w:t>u değişiklik tekliflerini inceleyerek değişiklik yapılmasını gerekli gördüğü takdirde şartnameyi hazırlama ve onaylama prosedürünü takip ederek bu değişiklikleri yürürlüğe koyar.</w:t>
      </w:r>
    </w:p>
    <w:p w:rsidR="00696028" w:rsidRPr="00696028" w:rsidRDefault="00313265" w:rsidP="0089316C">
      <w:pPr>
        <w:jc w:val="both"/>
        <w:rPr>
          <w:rFonts w:ascii="Times New Roman" w:hAnsi="Times New Roman" w:cs="Times New Roman"/>
        </w:rPr>
      </w:pPr>
      <w:r>
        <w:rPr>
          <w:rFonts w:ascii="Times New Roman" w:hAnsi="Times New Roman" w:cs="Times New Roman"/>
          <w:b/>
        </w:rPr>
        <w:t>19</w:t>
      </w:r>
      <w:r w:rsidR="00696028">
        <w:rPr>
          <w:rFonts w:ascii="Times New Roman" w:hAnsi="Times New Roman" w:cs="Times New Roman"/>
          <w:b/>
        </w:rPr>
        <w:t>.</w:t>
      </w:r>
      <w:r w:rsidR="00F47BA1">
        <w:rPr>
          <w:rFonts w:ascii="Times New Roman" w:hAnsi="Times New Roman" w:cs="Times New Roman"/>
          <w:b/>
        </w:rPr>
        <w:t xml:space="preserve"> </w:t>
      </w:r>
      <w:r w:rsidR="00696028" w:rsidRPr="00696028">
        <w:rPr>
          <w:rFonts w:ascii="Times New Roman" w:hAnsi="Times New Roman" w:cs="Times New Roman"/>
        </w:rPr>
        <w:t>Teknik şartnamede yapılacak düzenlemelerin, ön yeterlik şartnamesinde veya idari şartnamede ihaleye katılımda yeterlik kriteri olarak öngörülen mesleki ve teknik yeterlik kriterleri ve belgeleriyle uyumlu olması gerekir.</w:t>
      </w:r>
    </w:p>
    <w:p w:rsidR="00696028" w:rsidRPr="00696028" w:rsidRDefault="00313265" w:rsidP="0089316C">
      <w:pPr>
        <w:jc w:val="both"/>
        <w:rPr>
          <w:rFonts w:ascii="Times New Roman" w:hAnsi="Times New Roman" w:cs="Times New Roman"/>
        </w:rPr>
      </w:pPr>
      <w:r>
        <w:rPr>
          <w:rFonts w:ascii="Times New Roman" w:hAnsi="Times New Roman" w:cs="Times New Roman"/>
          <w:b/>
        </w:rPr>
        <w:t>20</w:t>
      </w:r>
      <w:r w:rsidR="007F485A">
        <w:rPr>
          <w:rFonts w:ascii="Times New Roman" w:hAnsi="Times New Roman" w:cs="Times New Roman"/>
          <w:b/>
        </w:rPr>
        <w:t>.</w:t>
      </w:r>
      <w:r w:rsidR="00696028" w:rsidRPr="00696028">
        <w:rPr>
          <w:rFonts w:ascii="Times New Roman" w:hAnsi="Times New Roman" w:cs="Times New Roman"/>
        </w:rPr>
        <w:t xml:space="preserve"> Teknik şartnamedeki düzenlemelerin; ihale komisyonu ile muayene ve kabul komisyonunca yapılacak inceleme ve değerlendirmelerde tereddüt oluşturmayacak şekilde açık olması gerekir. </w:t>
      </w:r>
      <w:r w:rsidR="00C222F7" w:rsidRPr="0089316C">
        <w:rPr>
          <w:rFonts w:ascii="Times New Roman" w:hAnsi="Times New Roman" w:cs="Times New Roman"/>
        </w:rPr>
        <w:t>Alım işlemi gerçekleştiğinde; yapılacak muayene ve kabul işlemlerinin hazırlanan Teknik Şartname hükümleri doğrultusunda yapılması esas olduğundan, muayene ve kabul işlemlerinde ölçümlenemeyecek, görülemeyece</w:t>
      </w:r>
      <w:r w:rsidR="00C222F7">
        <w:rPr>
          <w:rFonts w:ascii="Times New Roman" w:hAnsi="Times New Roman" w:cs="Times New Roman"/>
        </w:rPr>
        <w:t xml:space="preserve">k, tespit edilemeyecek hususlar </w:t>
      </w:r>
      <w:r w:rsidR="00C222F7" w:rsidRPr="0089316C">
        <w:rPr>
          <w:rFonts w:ascii="Times New Roman" w:hAnsi="Times New Roman" w:cs="Times New Roman"/>
        </w:rPr>
        <w:t>yazılmamalıdır.</w:t>
      </w:r>
    </w:p>
    <w:p w:rsidR="00696028" w:rsidRPr="00696028" w:rsidRDefault="00696028" w:rsidP="0089316C">
      <w:pPr>
        <w:jc w:val="both"/>
        <w:rPr>
          <w:rFonts w:ascii="Times New Roman" w:hAnsi="Times New Roman" w:cs="Times New Roman"/>
        </w:rPr>
      </w:pPr>
      <w:r w:rsidRPr="007F485A">
        <w:rPr>
          <w:rFonts w:ascii="Times New Roman" w:hAnsi="Times New Roman" w:cs="Times New Roman"/>
          <w:b/>
        </w:rPr>
        <w:t>2</w:t>
      </w:r>
      <w:r w:rsidR="00C222F7">
        <w:rPr>
          <w:rFonts w:ascii="Times New Roman" w:hAnsi="Times New Roman" w:cs="Times New Roman"/>
          <w:b/>
        </w:rPr>
        <w:t>1</w:t>
      </w:r>
      <w:r w:rsidR="007F485A">
        <w:rPr>
          <w:rFonts w:ascii="Times New Roman" w:hAnsi="Times New Roman" w:cs="Times New Roman"/>
          <w:b/>
        </w:rPr>
        <w:t>.</w:t>
      </w:r>
      <w:r w:rsidRPr="00696028">
        <w:rPr>
          <w:rFonts w:ascii="Times New Roman" w:hAnsi="Times New Roman" w:cs="Times New Roman"/>
        </w:rPr>
        <w:t xml:space="preserve"> Özel imalat süreci gerektiren mal alımlarında, yükle</w:t>
      </w:r>
      <w:r w:rsidR="004A53FD">
        <w:rPr>
          <w:rFonts w:ascii="Times New Roman" w:hAnsi="Times New Roman" w:cs="Times New Roman"/>
        </w:rPr>
        <w:t xml:space="preserve">nici tarafından öncelikle malın prototipinin </w:t>
      </w:r>
      <w:r w:rsidRPr="00696028">
        <w:rPr>
          <w:rFonts w:ascii="Times New Roman" w:hAnsi="Times New Roman" w:cs="Times New Roman"/>
        </w:rPr>
        <w:t xml:space="preserve">idareye sunulmasına ve bu prototipin kabulünden sonra üretiminin yapılmasına yönelik teknik şartnamede düzenleme yapılabilir. </w:t>
      </w:r>
    </w:p>
    <w:p w:rsidR="00696028" w:rsidRPr="00696028" w:rsidRDefault="00696028" w:rsidP="0089316C">
      <w:pPr>
        <w:jc w:val="both"/>
        <w:rPr>
          <w:rFonts w:ascii="Times New Roman" w:hAnsi="Times New Roman" w:cs="Times New Roman"/>
        </w:rPr>
      </w:pPr>
      <w:r w:rsidRPr="007F485A">
        <w:rPr>
          <w:rFonts w:ascii="Times New Roman" w:hAnsi="Times New Roman" w:cs="Times New Roman"/>
          <w:b/>
        </w:rPr>
        <w:t>2</w:t>
      </w:r>
      <w:r w:rsidR="00C222F7">
        <w:rPr>
          <w:rFonts w:ascii="Times New Roman" w:hAnsi="Times New Roman" w:cs="Times New Roman"/>
          <w:b/>
        </w:rPr>
        <w:t>2</w:t>
      </w:r>
      <w:r w:rsidR="007F485A">
        <w:rPr>
          <w:rFonts w:ascii="Times New Roman" w:hAnsi="Times New Roman" w:cs="Times New Roman"/>
          <w:b/>
        </w:rPr>
        <w:t>.</w:t>
      </w:r>
      <w:r w:rsidRPr="00696028">
        <w:rPr>
          <w:rFonts w:ascii="Times New Roman" w:hAnsi="Times New Roman" w:cs="Times New Roman"/>
        </w:rPr>
        <w:t xml:space="preserve"> Alım konusu malın niteliği esas alınarak yüklenicinin personel çalıştırmasının öngörülmesi halinde, bu personelin sayısı ve niteliği teknik şartnamede veya sözleşme tasarısında belirtilir.</w:t>
      </w:r>
    </w:p>
    <w:p w:rsidR="00C222F7" w:rsidRDefault="008E0359" w:rsidP="00C222F7">
      <w:pPr>
        <w:jc w:val="both"/>
        <w:rPr>
          <w:rFonts w:ascii="Times New Roman" w:hAnsi="Times New Roman" w:cs="Times New Roman"/>
        </w:rPr>
      </w:pPr>
      <w:r>
        <w:rPr>
          <w:rFonts w:ascii="Times New Roman" w:hAnsi="Times New Roman" w:cs="Times New Roman"/>
          <w:b/>
        </w:rPr>
        <w:t>2</w:t>
      </w:r>
      <w:r w:rsidR="00C222F7">
        <w:rPr>
          <w:rFonts w:ascii="Times New Roman" w:hAnsi="Times New Roman" w:cs="Times New Roman"/>
          <w:b/>
        </w:rPr>
        <w:t>3</w:t>
      </w:r>
      <w:r w:rsidR="00152C16" w:rsidRPr="00221D6A">
        <w:rPr>
          <w:rFonts w:ascii="Times New Roman" w:hAnsi="Times New Roman" w:cs="Times New Roman"/>
          <w:b/>
        </w:rPr>
        <w:t>.</w:t>
      </w:r>
      <w:r w:rsidR="00152C16" w:rsidRPr="0089316C">
        <w:rPr>
          <w:rFonts w:ascii="Times New Roman" w:hAnsi="Times New Roman" w:cs="Times New Roman"/>
        </w:rPr>
        <w:t xml:space="preserve"> Temin edilecek malzeme ve/veya sistemi kullanacak personele verilmesi gerekli olabilecek teknik içerikli eğitimler ile ilgili hükümle</w:t>
      </w:r>
      <w:r w:rsidR="00C868B6">
        <w:rPr>
          <w:rFonts w:ascii="Times New Roman" w:hAnsi="Times New Roman" w:cs="Times New Roman"/>
        </w:rPr>
        <w:t>r, te</w:t>
      </w:r>
      <w:r w:rsidR="00152C16" w:rsidRPr="0089316C">
        <w:rPr>
          <w:rFonts w:ascii="Times New Roman" w:hAnsi="Times New Roman" w:cs="Times New Roman"/>
        </w:rPr>
        <w:t>knik şartnamede belirlendiği şekilde ihale dokümanında belirtilmelidir. Ayrıca eğitim için süreler belirtilmeli ve kesinlikle yurt</w:t>
      </w:r>
      <w:r w:rsidR="00C868B6">
        <w:rPr>
          <w:rFonts w:ascii="Times New Roman" w:hAnsi="Times New Roman" w:cs="Times New Roman"/>
        </w:rPr>
        <w:t xml:space="preserve"> </w:t>
      </w:r>
      <w:r w:rsidR="00152C16" w:rsidRPr="0089316C">
        <w:rPr>
          <w:rFonts w:ascii="Times New Roman" w:hAnsi="Times New Roman" w:cs="Times New Roman"/>
        </w:rPr>
        <w:t xml:space="preserve">dışında eğitim talep edilmemelidir. </w:t>
      </w:r>
    </w:p>
    <w:p w:rsidR="00C222F7" w:rsidRPr="0089316C" w:rsidRDefault="00C222F7" w:rsidP="00C222F7">
      <w:pPr>
        <w:jc w:val="both"/>
        <w:rPr>
          <w:rFonts w:ascii="Times New Roman" w:hAnsi="Times New Roman" w:cs="Times New Roman"/>
        </w:rPr>
      </w:pPr>
      <w:r w:rsidRPr="00221D6A">
        <w:rPr>
          <w:rFonts w:ascii="Times New Roman" w:hAnsi="Times New Roman" w:cs="Times New Roman"/>
          <w:b/>
        </w:rPr>
        <w:t>2</w:t>
      </w:r>
      <w:r>
        <w:rPr>
          <w:rFonts w:ascii="Times New Roman" w:hAnsi="Times New Roman" w:cs="Times New Roman"/>
          <w:b/>
        </w:rPr>
        <w:t>4</w:t>
      </w:r>
      <w:r w:rsidRPr="00221D6A">
        <w:rPr>
          <w:rFonts w:ascii="Times New Roman" w:hAnsi="Times New Roman" w:cs="Times New Roman"/>
          <w:b/>
        </w:rPr>
        <w:t>.</w:t>
      </w:r>
      <w:r w:rsidRPr="0089316C">
        <w:rPr>
          <w:rFonts w:ascii="Times New Roman" w:hAnsi="Times New Roman" w:cs="Times New Roman"/>
        </w:rPr>
        <w:t xml:space="preserve"> Teknik </w:t>
      </w:r>
      <w:r w:rsidR="00C868B6">
        <w:rPr>
          <w:rFonts w:ascii="Times New Roman" w:hAnsi="Times New Roman" w:cs="Times New Roman"/>
        </w:rPr>
        <w:t>ş</w:t>
      </w:r>
      <w:r w:rsidRPr="0089316C">
        <w:rPr>
          <w:rFonts w:ascii="Times New Roman" w:hAnsi="Times New Roman" w:cs="Times New Roman"/>
        </w:rPr>
        <w:t xml:space="preserve">artnamede istenilen özellikler maddeler halinde numaralandırılarak veya tablo halinde belirtilmelidir. </w:t>
      </w:r>
    </w:p>
    <w:p w:rsidR="000E2418" w:rsidRDefault="000E2418" w:rsidP="0089316C">
      <w:pPr>
        <w:jc w:val="both"/>
        <w:rPr>
          <w:rFonts w:ascii="Times New Roman" w:hAnsi="Times New Roman" w:cs="Times New Roman"/>
        </w:rPr>
      </w:pPr>
    </w:p>
    <w:p w:rsidR="000E2418" w:rsidRDefault="000E2418" w:rsidP="0089316C">
      <w:pPr>
        <w:jc w:val="both"/>
        <w:rPr>
          <w:rFonts w:ascii="Times New Roman" w:hAnsi="Times New Roman" w:cs="Times New Roman"/>
        </w:rPr>
      </w:pPr>
    </w:p>
    <w:p w:rsidR="003C6723" w:rsidRDefault="003C6723" w:rsidP="0089316C">
      <w:pPr>
        <w:jc w:val="both"/>
        <w:rPr>
          <w:rFonts w:ascii="Times New Roman" w:hAnsi="Times New Roman" w:cs="Times New Roman"/>
        </w:rPr>
      </w:pPr>
    </w:p>
    <w:p w:rsidR="000E2418" w:rsidRPr="000E2418" w:rsidRDefault="000E2418" w:rsidP="000E241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ÖRNEK TEKNİK ŞARTNAME</w:t>
      </w:r>
    </w:p>
    <w:p w:rsidR="000E2418" w:rsidRPr="000E2418" w:rsidRDefault="000E2418" w:rsidP="0089316C">
      <w:pPr>
        <w:jc w:val="both"/>
        <w:rPr>
          <w:rFonts w:ascii="Times New Roman" w:hAnsi="Times New Roman" w:cs="Times New Roman"/>
          <w:sz w:val="18"/>
          <w:szCs w:val="18"/>
        </w:rPr>
      </w:pPr>
    </w:p>
    <w:p w:rsidR="000E2418" w:rsidRPr="000E2418" w:rsidRDefault="000E2418" w:rsidP="000E2418">
      <w:pPr>
        <w:jc w:val="center"/>
        <w:rPr>
          <w:rFonts w:ascii="Times New Roman" w:hAnsi="Times New Roman" w:cs="Times New Roman"/>
          <w:b/>
          <w:sz w:val="24"/>
          <w:szCs w:val="24"/>
        </w:rPr>
      </w:pPr>
      <w:r w:rsidRPr="000E2418">
        <w:rPr>
          <w:rFonts w:ascii="Times New Roman" w:hAnsi="Times New Roman" w:cs="Times New Roman"/>
          <w:b/>
          <w:sz w:val="24"/>
          <w:szCs w:val="24"/>
        </w:rPr>
        <w:t>TEKNİK ŞARTNAME SANTRİFÜJ CİHAZI</w:t>
      </w:r>
    </w:p>
    <w:p w:rsidR="00C222F7"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 Cihazın maksimum hızı 40.000 devir/dakika, maksimum RCF değeri 175.302 </w:t>
      </w:r>
      <w:proofErr w:type="spellStart"/>
      <w:r w:rsidRPr="000E2418">
        <w:rPr>
          <w:rFonts w:ascii="Times New Roman" w:hAnsi="Times New Roman" w:cs="Times New Roman"/>
          <w:sz w:val="20"/>
          <w:szCs w:val="20"/>
        </w:rPr>
        <w:t>xg</w:t>
      </w:r>
      <w:proofErr w:type="spellEnd"/>
      <w:r w:rsidRPr="000E2418">
        <w:rPr>
          <w:rFonts w:ascii="Times New Roman" w:hAnsi="Times New Roman" w:cs="Times New Roman"/>
          <w:sz w:val="20"/>
          <w:szCs w:val="20"/>
        </w:rPr>
        <w:t xml:space="preserve"> değerinde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2. Cihazın maksimum kapasitesi 1.500 ml (250mlx6 tüp)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3. Santrifüj hızı,1 </w:t>
      </w:r>
      <w:proofErr w:type="spellStart"/>
      <w:r w:rsidRPr="000E2418">
        <w:rPr>
          <w:rFonts w:ascii="Times New Roman" w:hAnsi="Times New Roman" w:cs="Times New Roman"/>
          <w:sz w:val="20"/>
          <w:szCs w:val="20"/>
        </w:rPr>
        <w:t>rpm</w:t>
      </w:r>
      <w:proofErr w:type="spellEnd"/>
      <w:r w:rsidRPr="000E2418">
        <w:rPr>
          <w:rFonts w:ascii="Times New Roman" w:hAnsi="Times New Roman" w:cs="Times New Roman"/>
          <w:sz w:val="20"/>
          <w:szCs w:val="20"/>
        </w:rPr>
        <w:t xml:space="preserve"> kademelerle ayarlanabilmeli ve cihaz ekranından gösterilebilmelidir.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4. Cihazın zaman ayarı 99 saat 59 dakika 59 saniyeye kadar ayarlanabilmelidir. Cihaz, zamandan bağımsız sürekli (</w:t>
      </w:r>
      <w:proofErr w:type="spellStart"/>
      <w:r w:rsidR="00C868B6">
        <w:rPr>
          <w:rFonts w:ascii="Times New Roman" w:hAnsi="Times New Roman" w:cs="Times New Roman"/>
          <w:sz w:val="20"/>
          <w:szCs w:val="20"/>
        </w:rPr>
        <w:t>h</w:t>
      </w:r>
      <w:r w:rsidRPr="000E2418">
        <w:rPr>
          <w:rFonts w:ascii="Times New Roman" w:hAnsi="Times New Roman" w:cs="Times New Roman"/>
          <w:sz w:val="20"/>
          <w:szCs w:val="20"/>
        </w:rPr>
        <w:t>old</w:t>
      </w:r>
      <w:proofErr w:type="spellEnd"/>
      <w:r w:rsidRPr="000E2418">
        <w:rPr>
          <w:rFonts w:ascii="Times New Roman" w:hAnsi="Times New Roman" w:cs="Times New Roman"/>
          <w:sz w:val="20"/>
          <w:szCs w:val="20"/>
        </w:rPr>
        <w:t xml:space="preserve"> fonksiyonu) olarak da çalıştırılabilmelidir.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5. Cihazda hız, zaman gibi parametreler tuşlar yardımıyla girilebilir,</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 xml:space="preserve">ayarlanabilir ve bu değerler ekrandan görülebilir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6. Cihaz dijital göstergeli olmalı, RPM, RCF zaman, sıcaklık limitleri,</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 xml:space="preserve">program, </w:t>
      </w:r>
      <w:proofErr w:type="spellStart"/>
      <w:r w:rsidRPr="000E2418">
        <w:rPr>
          <w:rFonts w:ascii="Times New Roman" w:hAnsi="Times New Roman" w:cs="Times New Roman"/>
          <w:sz w:val="20"/>
          <w:szCs w:val="20"/>
        </w:rPr>
        <w:t>hızlama</w:t>
      </w:r>
      <w:proofErr w:type="spellEnd"/>
      <w:r w:rsidRPr="000E2418">
        <w:rPr>
          <w:rFonts w:ascii="Times New Roman" w:hAnsi="Times New Roman" w:cs="Times New Roman"/>
          <w:sz w:val="20"/>
          <w:szCs w:val="20"/>
        </w:rPr>
        <w:t>/yavaşlama, rotor numarası,</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 xml:space="preserve">rotor yarıçapı ve ön sınama testleri bu göstergeden görülebilmelidir.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7. Cihazın çeper kısmı paslanmaz çelikten mamul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8. Cihazın ön panelinde başlama (</w:t>
      </w:r>
      <w:proofErr w:type="gramStart"/>
      <w:r w:rsidRPr="000E2418">
        <w:rPr>
          <w:rFonts w:ascii="Times New Roman" w:hAnsi="Times New Roman" w:cs="Times New Roman"/>
          <w:sz w:val="20"/>
          <w:szCs w:val="20"/>
        </w:rPr>
        <w:t>start</w:t>
      </w:r>
      <w:proofErr w:type="gramEnd"/>
      <w:r w:rsidRPr="000E2418">
        <w:rPr>
          <w:rFonts w:ascii="Times New Roman" w:hAnsi="Times New Roman" w:cs="Times New Roman"/>
          <w:sz w:val="20"/>
          <w:szCs w:val="20"/>
        </w:rPr>
        <w:t>), durdurma (stop), hızlanma (</w:t>
      </w:r>
      <w:proofErr w:type="spellStart"/>
      <w:r w:rsidRPr="000E2418">
        <w:rPr>
          <w:rFonts w:ascii="Times New Roman" w:hAnsi="Times New Roman" w:cs="Times New Roman"/>
          <w:sz w:val="20"/>
          <w:szCs w:val="20"/>
        </w:rPr>
        <w:t>accelaration</w:t>
      </w:r>
      <w:proofErr w:type="spellEnd"/>
      <w:r w:rsidRPr="000E2418">
        <w:rPr>
          <w:rFonts w:ascii="Times New Roman" w:hAnsi="Times New Roman" w:cs="Times New Roman"/>
          <w:sz w:val="20"/>
          <w:szCs w:val="20"/>
        </w:rPr>
        <w:t>), yavaşlama (</w:t>
      </w:r>
      <w:proofErr w:type="spellStart"/>
      <w:r w:rsidRPr="000E2418">
        <w:rPr>
          <w:rFonts w:ascii="Times New Roman" w:hAnsi="Times New Roman" w:cs="Times New Roman"/>
          <w:sz w:val="20"/>
          <w:szCs w:val="20"/>
        </w:rPr>
        <w:t>deceleration</w:t>
      </w:r>
      <w:proofErr w:type="spellEnd"/>
      <w:r w:rsidRPr="000E2418">
        <w:rPr>
          <w:rFonts w:ascii="Times New Roman" w:hAnsi="Times New Roman" w:cs="Times New Roman"/>
          <w:sz w:val="20"/>
          <w:szCs w:val="20"/>
        </w:rPr>
        <w:t xml:space="preserve">), arttırma ve azalma tuşları mevcut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9. Cihazın </w:t>
      </w:r>
      <w:r w:rsidR="00C222F7">
        <w:rPr>
          <w:rFonts w:ascii="Times New Roman" w:hAnsi="Times New Roman" w:cs="Times New Roman"/>
          <w:sz w:val="20"/>
          <w:szCs w:val="20"/>
        </w:rPr>
        <w:t xml:space="preserve">çalışma </w:t>
      </w:r>
      <w:r w:rsidR="00B64716" w:rsidRPr="000E2418">
        <w:rPr>
          <w:rFonts w:ascii="Times New Roman" w:hAnsi="Times New Roman" w:cs="Times New Roman"/>
          <w:sz w:val="20"/>
          <w:szCs w:val="20"/>
        </w:rPr>
        <w:t>sıcak</w:t>
      </w:r>
      <w:r w:rsidR="00B64716">
        <w:rPr>
          <w:rFonts w:ascii="Times New Roman" w:hAnsi="Times New Roman" w:cs="Times New Roman"/>
          <w:sz w:val="20"/>
          <w:szCs w:val="20"/>
        </w:rPr>
        <w:t>lığı</w:t>
      </w:r>
      <w:r w:rsidR="00B64716" w:rsidRPr="000E2418">
        <w:rPr>
          <w:rFonts w:ascii="Times New Roman" w:hAnsi="Times New Roman" w:cs="Times New Roman"/>
          <w:sz w:val="20"/>
          <w:szCs w:val="20"/>
        </w:rPr>
        <w:t xml:space="preserve"> aralığı -20 </w:t>
      </w:r>
      <w:r w:rsidR="00B64716">
        <w:rPr>
          <w:rFonts w:ascii="Times New Roman" w:hAnsi="Times New Roman" w:cs="Times New Roman"/>
          <w:sz w:val="20"/>
          <w:szCs w:val="20"/>
        </w:rPr>
        <w:t xml:space="preserve">℃ile </w:t>
      </w:r>
      <w:r w:rsidR="00B64716" w:rsidRPr="000E2418">
        <w:rPr>
          <w:rFonts w:ascii="Times New Roman" w:hAnsi="Times New Roman" w:cs="Times New Roman"/>
          <w:sz w:val="20"/>
          <w:szCs w:val="20"/>
        </w:rPr>
        <w:t xml:space="preserve">+40 </w:t>
      </w:r>
      <w:r w:rsidR="00B64716">
        <w:rPr>
          <w:rFonts w:ascii="Times New Roman" w:hAnsi="Times New Roman" w:cs="Times New Roman"/>
          <w:sz w:val="20"/>
          <w:szCs w:val="20"/>
        </w:rPr>
        <w:t>℃</w:t>
      </w:r>
      <w:r w:rsidR="00B64716" w:rsidRPr="000E2418">
        <w:rPr>
          <w:rFonts w:ascii="Times New Roman" w:hAnsi="Times New Roman" w:cs="Times New Roman"/>
          <w:sz w:val="20"/>
          <w:szCs w:val="20"/>
        </w:rPr>
        <w:t xml:space="preserve"> </w:t>
      </w:r>
      <w:r w:rsidRPr="000E2418">
        <w:rPr>
          <w:rFonts w:ascii="Times New Roman" w:hAnsi="Times New Roman" w:cs="Times New Roman"/>
          <w:sz w:val="20"/>
          <w:szCs w:val="20"/>
        </w:rPr>
        <w:t xml:space="preserve">arasında ayarlanabilmelidir.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10. Cihazın sıcak limit set aralığı 0 </w:t>
      </w:r>
      <w:r w:rsidR="00C222F7">
        <w:rPr>
          <w:rFonts w:ascii="Times New Roman" w:hAnsi="Times New Roman" w:cs="Times New Roman"/>
          <w:sz w:val="20"/>
          <w:szCs w:val="20"/>
        </w:rPr>
        <w:t xml:space="preserve">℃ </w:t>
      </w:r>
      <w:r w:rsidRPr="000E2418">
        <w:rPr>
          <w:rFonts w:ascii="Times New Roman" w:hAnsi="Times New Roman" w:cs="Times New Roman"/>
          <w:sz w:val="20"/>
          <w:szCs w:val="20"/>
        </w:rPr>
        <w:t>ile + 30</w:t>
      </w:r>
      <w:r w:rsidR="00C222F7">
        <w:rPr>
          <w:rFonts w:ascii="Times New Roman" w:hAnsi="Times New Roman" w:cs="Times New Roman"/>
          <w:sz w:val="20"/>
          <w:szCs w:val="20"/>
        </w:rPr>
        <w:t xml:space="preserve"> ℃</w:t>
      </w:r>
      <w:r w:rsidRPr="000E2418">
        <w:rPr>
          <w:rFonts w:ascii="Times New Roman" w:hAnsi="Times New Roman" w:cs="Times New Roman"/>
          <w:sz w:val="20"/>
          <w:szCs w:val="20"/>
        </w:rPr>
        <w:t xml:space="preserve">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11. Cihaz</w:t>
      </w:r>
      <w:r w:rsidR="001628E7">
        <w:rPr>
          <w:rFonts w:ascii="Times New Roman" w:hAnsi="Times New Roman" w:cs="Times New Roman"/>
          <w:sz w:val="20"/>
          <w:szCs w:val="20"/>
        </w:rPr>
        <w:t xml:space="preserve"> en az</w:t>
      </w:r>
      <w:r w:rsidRPr="000E2418">
        <w:rPr>
          <w:rFonts w:ascii="Times New Roman" w:hAnsi="Times New Roman" w:cs="Times New Roman"/>
          <w:sz w:val="20"/>
          <w:szCs w:val="20"/>
        </w:rPr>
        <w:t xml:space="preserve"> 10 adet bağımsız hızlanma ve 10 adet bağımsız frenleme profiline sahip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12. Cihazda</w:t>
      </w:r>
      <w:r w:rsidR="001628E7">
        <w:rPr>
          <w:rFonts w:ascii="Times New Roman" w:hAnsi="Times New Roman" w:cs="Times New Roman"/>
          <w:sz w:val="20"/>
          <w:szCs w:val="20"/>
        </w:rPr>
        <w:t xml:space="preserve"> en az</w:t>
      </w:r>
      <w:r w:rsidRPr="000E2418">
        <w:rPr>
          <w:rFonts w:ascii="Times New Roman" w:hAnsi="Times New Roman" w:cs="Times New Roman"/>
          <w:sz w:val="20"/>
          <w:szCs w:val="20"/>
        </w:rPr>
        <w:t xml:space="preserve"> 20 adet program hafızaya alınabilmelidir. </w:t>
      </w:r>
    </w:p>
    <w:p w:rsidR="000E2418" w:rsidRPr="000E2418" w:rsidRDefault="00DD6353" w:rsidP="000E2418">
      <w:pPr>
        <w:spacing w:after="0"/>
        <w:jc w:val="both"/>
        <w:rPr>
          <w:rFonts w:ascii="Times New Roman" w:hAnsi="Times New Roman" w:cs="Times New Roman"/>
          <w:sz w:val="20"/>
          <w:szCs w:val="20"/>
        </w:rPr>
      </w:pPr>
      <w:r>
        <w:rPr>
          <w:rFonts w:ascii="Times New Roman" w:hAnsi="Times New Roman" w:cs="Times New Roman"/>
          <w:sz w:val="20"/>
          <w:szCs w:val="20"/>
        </w:rPr>
        <w:t xml:space="preserve">13. Cihazda rotor yarıçapı set </w:t>
      </w:r>
      <w:r w:rsidR="000E2418" w:rsidRPr="000E2418">
        <w:rPr>
          <w:rFonts w:ascii="Times New Roman" w:hAnsi="Times New Roman" w:cs="Times New Roman"/>
          <w:sz w:val="20"/>
          <w:szCs w:val="20"/>
        </w:rPr>
        <w:t xml:space="preserve">aralığı 0,1 mm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14. Cihaz ile birlikte, kapasitesi 13,5 mlx8 </w:t>
      </w:r>
      <w:proofErr w:type="gramStart"/>
      <w:r w:rsidRPr="000E2418">
        <w:rPr>
          <w:rFonts w:ascii="Times New Roman" w:hAnsi="Times New Roman" w:cs="Times New Roman"/>
          <w:sz w:val="20"/>
          <w:szCs w:val="20"/>
        </w:rPr>
        <w:t>tüp,RPM</w:t>
      </w:r>
      <w:proofErr w:type="gramEnd"/>
      <w:r w:rsidRPr="000E2418">
        <w:rPr>
          <w:rFonts w:ascii="Times New Roman" w:hAnsi="Times New Roman" w:cs="Times New Roman"/>
          <w:sz w:val="20"/>
          <w:szCs w:val="20"/>
        </w:rPr>
        <w:t xml:space="preserve"> değeri 40.000,RCF değeri 130.582xg olan 24 derece sabit açılı rotor verilmelidir.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15. Cihaz,</w:t>
      </w:r>
      <w:r w:rsidR="00C250F9">
        <w:rPr>
          <w:rFonts w:ascii="Times New Roman" w:hAnsi="Times New Roman" w:cs="Times New Roman"/>
          <w:sz w:val="20"/>
          <w:szCs w:val="20"/>
        </w:rPr>
        <w:t xml:space="preserve"> </w:t>
      </w:r>
      <w:r w:rsidRPr="000E2418">
        <w:rPr>
          <w:rFonts w:ascii="Times New Roman" w:hAnsi="Times New Roman" w:cs="Times New Roman"/>
          <w:sz w:val="20"/>
          <w:szCs w:val="20"/>
        </w:rPr>
        <w:t xml:space="preserve">CE belgesine sahip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16. Cihaz,</w:t>
      </w:r>
      <w:r w:rsidR="00C250F9">
        <w:rPr>
          <w:rFonts w:ascii="Times New Roman" w:hAnsi="Times New Roman" w:cs="Times New Roman"/>
          <w:sz w:val="20"/>
          <w:szCs w:val="20"/>
        </w:rPr>
        <w:t xml:space="preserve"> </w:t>
      </w:r>
      <w:r w:rsidRPr="000E2418">
        <w:rPr>
          <w:rFonts w:ascii="Times New Roman" w:hAnsi="Times New Roman" w:cs="Times New Roman"/>
          <w:sz w:val="20"/>
          <w:szCs w:val="20"/>
        </w:rPr>
        <w:t xml:space="preserve">220V/50Hz şehir şebekesi ile çalışabilmelidir.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17. Satıcı </w:t>
      </w:r>
      <w:r w:rsidR="00C868B6">
        <w:rPr>
          <w:rFonts w:ascii="Times New Roman" w:hAnsi="Times New Roman" w:cs="Times New Roman"/>
          <w:sz w:val="20"/>
          <w:szCs w:val="20"/>
        </w:rPr>
        <w:t>f</w:t>
      </w:r>
      <w:r w:rsidRPr="000E2418">
        <w:rPr>
          <w:rFonts w:ascii="Times New Roman" w:hAnsi="Times New Roman" w:cs="Times New Roman"/>
          <w:sz w:val="20"/>
          <w:szCs w:val="20"/>
        </w:rPr>
        <w:t>irmanın Türkiye temsilcisi,</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konsolosluk</w:t>
      </w:r>
      <w:bookmarkStart w:id="0" w:name="_GoBack"/>
      <w:bookmarkEnd w:id="0"/>
      <w:r w:rsidRPr="000E2418">
        <w:rPr>
          <w:rFonts w:ascii="Times New Roman" w:hAnsi="Times New Roman" w:cs="Times New Roman"/>
          <w:sz w:val="20"/>
          <w:szCs w:val="20"/>
        </w:rPr>
        <w:t xml:space="preserve"> tasdikli Temsilcilik Belgesi ile üretici firmanın İmalatçılık Belgesi’ni teklif ekinde vermelidir.</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 xml:space="preserve">Teklif veren firma ithalatçı firmanın yetki belgesine sahip olmalıdır.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18. İthalatçı firmanın, TS 12426’ya uygun TSE Hizmet Yeri Yeterlilik Belgesi ile Sanayi ve Ticaret Bakanlığı Hizmet Yeri Yeterlilik Belgeleri bulunmalıdır.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19. Cihaz yetkili firma personelince alıcının göstereceği yere kurulmalı, çalışır ve kullanıma hazır vaziyette teslim edilmelidir. </w:t>
      </w:r>
      <w:r w:rsidR="00C222F7" w:rsidRPr="000E2418">
        <w:rPr>
          <w:rFonts w:ascii="Times New Roman" w:hAnsi="Times New Roman" w:cs="Times New Roman"/>
          <w:sz w:val="20"/>
          <w:szCs w:val="20"/>
        </w:rPr>
        <w:t xml:space="preserve">Cihazın kurulumu </w:t>
      </w:r>
      <w:r w:rsidR="00C222F7">
        <w:rPr>
          <w:rFonts w:ascii="Times New Roman" w:hAnsi="Times New Roman" w:cs="Times New Roman"/>
          <w:sz w:val="20"/>
          <w:szCs w:val="20"/>
        </w:rPr>
        <w:t>v</w:t>
      </w:r>
      <w:r w:rsidR="00C222F7" w:rsidRPr="000E2418">
        <w:rPr>
          <w:rFonts w:ascii="Times New Roman" w:hAnsi="Times New Roman" w:cs="Times New Roman"/>
          <w:sz w:val="20"/>
          <w:szCs w:val="20"/>
        </w:rPr>
        <w:t>e teslimi aşamasında firma tarafından cihazın kullanımı ve bakımı ile ilgili uygulamalı eğitim verilmelidir.</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20. Cihaz, </w:t>
      </w:r>
      <w:r w:rsidR="00E30EDD" w:rsidRPr="000E2418">
        <w:rPr>
          <w:rFonts w:ascii="Times New Roman" w:hAnsi="Times New Roman" w:cs="Times New Roman"/>
          <w:sz w:val="20"/>
          <w:szCs w:val="20"/>
        </w:rPr>
        <w:t>kataloğunda</w:t>
      </w:r>
      <w:r w:rsidRPr="000E2418">
        <w:rPr>
          <w:rFonts w:ascii="Times New Roman" w:hAnsi="Times New Roman" w:cs="Times New Roman"/>
          <w:sz w:val="20"/>
          <w:szCs w:val="20"/>
        </w:rPr>
        <w:t xml:space="preserve"> belirtilen standart aksesuarları, bağlantı parçaları,</w:t>
      </w:r>
      <w:r w:rsidR="00C868B6">
        <w:rPr>
          <w:rFonts w:ascii="Times New Roman" w:hAnsi="Times New Roman" w:cs="Times New Roman"/>
          <w:sz w:val="20"/>
          <w:szCs w:val="20"/>
        </w:rPr>
        <w:t xml:space="preserve"> </w:t>
      </w:r>
      <w:r w:rsidRPr="000E2418">
        <w:rPr>
          <w:rFonts w:ascii="Times New Roman" w:hAnsi="Times New Roman" w:cs="Times New Roman"/>
          <w:sz w:val="20"/>
          <w:szCs w:val="20"/>
        </w:rPr>
        <w:t xml:space="preserve">bağlantı kabloları ve emniyetli çalıştırılması için gerekli aksesuarları ile eksiksiz olarak verilmelidir. </w:t>
      </w:r>
    </w:p>
    <w:p w:rsidR="000E2418" w:rsidRPr="000E2418" w:rsidRDefault="000E2418" w:rsidP="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21. Cihaz</w:t>
      </w:r>
      <w:r w:rsidR="00C868B6" w:rsidRPr="00C868B6">
        <w:rPr>
          <w:rFonts w:ascii="Times New Roman" w:hAnsi="Times New Roman" w:cs="Times New Roman"/>
          <w:sz w:val="20"/>
          <w:szCs w:val="20"/>
        </w:rPr>
        <w:t>da</w:t>
      </w:r>
      <w:r w:rsidRPr="000E2418">
        <w:rPr>
          <w:rFonts w:ascii="Times New Roman" w:hAnsi="Times New Roman" w:cs="Times New Roman"/>
          <w:sz w:val="20"/>
          <w:szCs w:val="20"/>
        </w:rPr>
        <w:t xml:space="preserve"> yapım ve işçilik kusurları bulunmamalıdır.</w:t>
      </w:r>
      <w:r w:rsidR="00C868B6">
        <w:rPr>
          <w:rFonts w:ascii="Times New Roman" w:hAnsi="Times New Roman" w:cs="Times New Roman"/>
          <w:sz w:val="20"/>
          <w:szCs w:val="20"/>
        </w:rPr>
        <w:t xml:space="preserve"> Cihazın tüm</w:t>
      </w:r>
      <w:r w:rsidRPr="000E2418">
        <w:rPr>
          <w:rFonts w:ascii="Times New Roman" w:hAnsi="Times New Roman" w:cs="Times New Roman"/>
          <w:sz w:val="20"/>
          <w:szCs w:val="20"/>
        </w:rPr>
        <w:t xml:space="preserve"> </w:t>
      </w:r>
      <w:r w:rsidR="00C868B6">
        <w:rPr>
          <w:rFonts w:ascii="Times New Roman" w:hAnsi="Times New Roman" w:cs="Times New Roman"/>
          <w:sz w:val="20"/>
          <w:szCs w:val="20"/>
        </w:rPr>
        <w:t>do</w:t>
      </w:r>
      <w:r w:rsidRPr="000E2418">
        <w:rPr>
          <w:rFonts w:ascii="Times New Roman" w:hAnsi="Times New Roman" w:cs="Times New Roman"/>
          <w:sz w:val="20"/>
          <w:szCs w:val="20"/>
        </w:rPr>
        <w:t>nanımları ve bu donanımlarda kullanılacak</w:t>
      </w:r>
      <w:r w:rsidR="00C868B6">
        <w:rPr>
          <w:rFonts w:ascii="Times New Roman" w:hAnsi="Times New Roman" w:cs="Times New Roman"/>
          <w:sz w:val="20"/>
          <w:szCs w:val="20"/>
        </w:rPr>
        <w:t xml:space="preserve"> aygıtları olmalı </w:t>
      </w:r>
      <w:r w:rsidRPr="000E2418">
        <w:rPr>
          <w:rFonts w:ascii="Times New Roman" w:hAnsi="Times New Roman" w:cs="Times New Roman"/>
          <w:sz w:val="20"/>
          <w:szCs w:val="20"/>
        </w:rPr>
        <w:t>ve malzemeleri ile birlikte yeni ve kullanılmamış</w:t>
      </w:r>
      <w:r w:rsidR="00C868B6">
        <w:rPr>
          <w:rFonts w:ascii="Times New Roman" w:hAnsi="Times New Roman" w:cs="Times New Roman"/>
          <w:sz w:val="20"/>
          <w:szCs w:val="20"/>
        </w:rPr>
        <w:t xml:space="preserve"> </w:t>
      </w:r>
      <w:r w:rsidRPr="000E2418">
        <w:rPr>
          <w:rFonts w:ascii="Times New Roman" w:hAnsi="Times New Roman" w:cs="Times New Roman"/>
          <w:sz w:val="20"/>
          <w:szCs w:val="20"/>
        </w:rPr>
        <w:t>bütün yüzeyleri düzgün, yüzeylerde çapak, boşluk,</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ezik,</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boya,</w:t>
      </w:r>
      <w:r w:rsidR="00131892">
        <w:rPr>
          <w:rFonts w:ascii="Times New Roman" w:hAnsi="Times New Roman" w:cs="Times New Roman"/>
          <w:sz w:val="20"/>
          <w:szCs w:val="20"/>
        </w:rPr>
        <w:t xml:space="preserve"> </w:t>
      </w:r>
      <w:r w:rsidRPr="000E2418">
        <w:rPr>
          <w:rFonts w:ascii="Times New Roman" w:hAnsi="Times New Roman" w:cs="Times New Roman"/>
          <w:sz w:val="20"/>
          <w:szCs w:val="20"/>
        </w:rPr>
        <w:t xml:space="preserve">kabarcığı gibi imalat hataları bulunmamalıdır. </w:t>
      </w:r>
    </w:p>
    <w:p w:rsidR="00C222F7" w:rsidRPr="000E2418" w:rsidRDefault="000E2418">
      <w:pPr>
        <w:spacing w:after="0"/>
        <w:jc w:val="both"/>
        <w:rPr>
          <w:rFonts w:ascii="Times New Roman" w:hAnsi="Times New Roman" w:cs="Times New Roman"/>
          <w:sz w:val="20"/>
          <w:szCs w:val="20"/>
        </w:rPr>
      </w:pPr>
      <w:r w:rsidRPr="000E2418">
        <w:rPr>
          <w:rFonts w:ascii="Times New Roman" w:hAnsi="Times New Roman" w:cs="Times New Roman"/>
          <w:sz w:val="20"/>
          <w:szCs w:val="20"/>
        </w:rPr>
        <w:t xml:space="preserve">22. </w:t>
      </w:r>
      <w:r w:rsidR="00C222F7">
        <w:rPr>
          <w:rFonts w:ascii="Times New Roman" w:hAnsi="Times New Roman" w:cs="Times New Roman"/>
          <w:sz w:val="20"/>
          <w:szCs w:val="20"/>
        </w:rPr>
        <w:t xml:space="preserve">Firma, </w:t>
      </w:r>
      <w:r w:rsidRPr="000E2418">
        <w:rPr>
          <w:rFonts w:ascii="Times New Roman" w:hAnsi="Times New Roman" w:cs="Times New Roman"/>
          <w:sz w:val="20"/>
          <w:szCs w:val="20"/>
        </w:rPr>
        <w:t>garanti süresi bitiminden itibaren geçerli olmak üzere, ücreti karşılığı</w:t>
      </w:r>
      <w:r w:rsidR="00EE3550">
        <w:rPr>
          <w:rFonts w:ascii="Times New Roman" w:hAnsi="Times New Roman" w:cs="Times New Roman"/>
          <w:sz w:val="20"/>
          <w:szCs w:val="20"/>
        </w:rPr>
        <w:t xml:space="preserve"> en az</w:t>
      </w:r>
      <w:r w:rsidRPr="000E2418">
        <w:rPr>
          <w:rFonts w:ascii="Times New Roman" w:hAnsi="Times New Roman" w:cs="Times New Roman"/>
          <w:sz w:val="20"/>
          <w:szCs w:val="20"/>
        </w:rPr>
        <w:t xml:space="preserve"> 10 yıl süre ile servis ve yedek parça sağlamayı garanti etmelidir. </w:t>
      </w:r>
    </w:p>
    <w:sectPr w:rsidR="00C222F7" w:rsidRPr="000E2418" w:rsidSect="00E42C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52" w:rsidRDefault="00353152" w:rsidP="00C76D4C">
      <w:pPr>
        <w:spacing w:after="0" w:line="240" w:lineRule="auto"/>
      </w:pPr>
      <w:r>
        <w:separator/>
      </w:r>
    </w:p>
  </w:endnote>
  <w:endnote w:type="continuationSeparator" w:id="0">
    <w:p w:rsidR="00353152" w:rsidRDefault="00353152" w:rsidP="00C7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68454"/>
      <w:docPartObj>
        <w:docPartGallery w:val="Page Numbers (Bottom of Page)"/>
        <w:docPartUnique/>
      </w:docPartObj>
    </w:sdtPr>
    <w:sdtEndPr/>
    <w:sdtContent>
      <w:p w:rsidR="00106616" w:rsidRDefault="00A5358C">
        <w:pPr>
          <w:pStyle w:val="Altbilgi"/>
          <w:jc w:val="center"/>
        </w:pPr>
        <w:r>
          <w:rPr>
            <w:noProof/>
          </w:rPr>
          <w:fldChar w:fldCharType="begin"/>
        </w:r>
        <w:r w:rsidR="00E53ADB">
          <w:rPr>
            <w:noProof/>
          </w:rPr>
          <w:instrText xml:space="preserve"> PAGE   \* MERGEFORMAT </w:instrText>
        </w:r>
        <w:r>
          <w:rPr>
            <w:noProof/>
          </w:rPr>
          <w:fldChar w:fldCharType="separate"/>
        </w:r>
        <w:r w:rsidR="00EC4BB6">
          <w:rPr>
            <w:noProof/>
          </w:rPr>
          <w:t>5</w:t>
        </w:r>
        <w:r>
          <w:rPr>
            <w:noProof/>
          </w:rPr>
          <w:fldChar w:fldCharType="end"/>
        </w:r>
      </w:p>
    </w:sdtContent>
  </w:sdt>
  <w:p w:rsidR="00106616" w:rsidRDefault="001066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52" w:rsidRDefault="00353152" w:rsidP="00C76D4C">
      <w:pPr>
        <w:spacing w:after="0" w:line="240" w:lineRule="auto"/>
      </w:pPr>
      <w:r>
        <w:separator/>
      </w:r>
    </w:p>
  </w:footnote>
  <w:footnote w:type="continuationSeparator" w:id="0">
    <w:p w:rsidR="00353152" w:rsidRDefault="00353152" w:rsidP="00C7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pPr w:leftFromText="141" w:rightFromText="141" w:horzAnchor="margin" w:tblpY="-563"/>
      <w:tblW w:w="9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274"/>
      <w:gridCol w:w="4118"/>
      <w:gridCol w:w="2516"/>
      <w:gridCol w:w="1117"/>
    </w:tblGrid>
    <w:tr w:rsidR="00F570B3" w:rsidTr="00D043AE">
      <w:trPr>
        <w:trHeight w:val="275"/>
      </w:trPr>
      <w:tc>
        <w:tcPr>
          <w:tcW w:w="1274" w:type="dxa"/>
          <w:vMerge w:val="restart"/>
        </w:tcPr>
        <w:p w:rsidR="00F570B3" w:rsidRDefault="00F570B3" w:rsidP="00D043AE">
          <w:pPr>
            <w:pStyle w:val="TableParagraph"/>
            <w:spacing w:before="2"/>
            <w:rPr>
              <w:rFonts w:ascii="Times New Roman"/>
              <w:sz w:val="6"/>
            </w:rPr>
          </w:pPr>
        </w:p>
        <w:p w:rsidR="00F570B3" w:rsidRDefault="00F570B3" w:rsidP="00D043AE">
          <w:pPr>
            <w:pStyle w:val="TableParagraph"/>
            <w:ind w:left="215"/>
            <w:rPr>
              <w:rFonts w:ascii="Times New Roman"/>
              <w:sz w:val="20"/>
            </w:rPr>
          </w:pPr>
          <w:r>
            <w:rPr>
              <w:rFonts w:ascii="Times New Roman"/>
              <w:noProof/>
              <w:sz w:val="20"/>
              <w:lang w:eastAsia="tr-TR"/>
            </w:rPr>
            <w:drawing>
              <wp:inline distT="0" distB="0" distL="0" distR="0">
                <wp:extent cx="622662" cy="80467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2662" cy="804672"/>
                        </a:xfrm>
                        <a:prstGeom prst="rect">
                          <a:avLst/>
                        </a:prstGeom>
                      </pic:spPr>
                    </pic:pic>
                  </a:graphicData>
                </a:graphic>
              </wp:inline>
            </w:drawing>
          </w:r>
        </w:p>
      </w:tc>
      <w:tc>
        <w:tcPr>
          <w:tcW w:w="4118" w:type="dxa"/>
          <w:vMerge w:val="restart"/>
        </w:tcPr>
        <w:p w:rsidR="00F570B3" w:rsidRDefault="00F570B3" w:rsidP="00D043AE">
          <w:pPr>
            <w:pStyle w:val="TableParagraph"/>
            <w:jc w:val="center"/>
          </w:pPr>
        </w:p>
        <w:p w:rsidR="00F570B3" w:rsidRPr="00AB33B8" w:rsidRDefault="00F570B3" w:rsidP="00D043AE">
          <w:pPr>
            <w:pStyle w:val="TableParagraph"/>
            <w:jc w:val="center"/>
            <w:rPr>
              <w:rFonts w:ascii="Times New Roman" w:hAnsi="Times New Roman" w:cs="Times New Roman"/>
            </w:rPr>
          </w:pPr>
          <w:r w:rsidRPr="00AB33B8">
            <w:rPr>
              <w:rFonts w:ascii="Times New Roman" w:hAnsi="Times New Roman" w:cs="Times New Roman"/>
            </w:rPr>
            <w:t>BİLİMSEL ARAŞTIRMA PROJELERİ KOORDİNATÖRLÜĞÜ</w:t>
          </w:r>
        </w:p>
        <w:p w:rsidR="00F570B3" w:rsidRDefault="00F570B3" w:rsidP="00D043AE">
          <w:pPr>
            <w:pStyle w:val="TableParagraph"/>
            <w:jc w:val="center"/>
            <w:rPr>
              <w:rFonts w:ascii="Times New Roman"/>
              <w:sz w:val="20"/>
            </w:rPr>
          </w:pPr>
          <w:r w:rsidRPr="00AB33B8">
            <w:rPr>
              <w:rFonts w:ascii="Times New Roman" w:hAnsi="Times New Roman" w:cs="Times New Roman"/>
            </w:rPr>
            <w:t>TEKNİK ŞARTNAME HAZIRLAMA TALİMATI</w:t>
          </w:r>
        </w:p>
      </w:tc>
      <w:tc>
        <w:tcPr>
          <w:tcW w:w="2516" w:type="dxa"/>
        </w:tcPr>
        <w:p w:rsidR="00F570B3" w:rsidRPr="00AB33B8" w:rsidRDefault="00F570B3" w:rsidP="00D043AE">
          <w:pPr>
            <w:pStyle w:val="TableParagraph"/>
            <w:spacing w:before="7"/>
            <w:ind w:left="82"/>
            <w:rPr>
              <w:rFonts w:ascii="Times New Roman" w:hAnsi="Times New Roman" w:cs="Times New Roman"/>
              <w:sz w:val="20"/>
            </w:rPr>
          </w:pPr>
          <w:r w:rsidRPr="00AB33B8">
            <w:rPr>
              <w:rFonts w:ascii="Times New Roman" w:hAnsi="Times New Roman" w:cs="Times New Roman"/>
              <w:color w:val="00000A"/>
              <w:sz w:val="20"/>
            </w:rPr>
            <w:t xml:space="preserve">BŞEÜ-KAYSİS </w:t>
          </w:r>
          <w:proofErr w:type="spellStart"/>
          <w:r w:rsidRPr="00AB33B8">
            <w:rPr>
              <w:rFonts w:ascii="Times New Roman" w:hAnsi="Times New Roman" w:cs="Times New Roman"/>
              <w:color w:val="00000A"/>
              <w:sz w:val="20"/>
            </w:rPr>
            <w:t>Belge</w:t>
          </w:r>
          <w:proofErr w:type="spellEnd"/>
          <w:r w:rsidRPr="00AB33B8">
            <w:rPr>
              <w:rFonts w:ascii="Times New Roman" w:hAnsi="Times New Roman" w:cs="Times New Roman"/>
              <w:color w:val="00000A"/>
              <w:sz w:val="20"/>
            </w:rPr>
            <w:t xml:space="preserve"> No</w:t>
          </w:r>
        </w:p>
      </w:tc>
      <w:tc>
        <w:tcPr>
          <w:tcW w:w="1117" w:type="dxa"/>
        </w:tcPr>
        <w:p w:rsidR="00F570B3" w:rsidRDefault="00F570B3" w:rsidP="00D043AE">
          <w:pPr>
            <w:pStyle w:val="TableParagraph"/>
            <w:rPr>
              <w:rFonts w:ascii="Times New Roman"/>
              <w:sz w:val="20"/>
            </w:rPr>
          </w:pPr>
        </w:p>
      </w:tc>
    </w:tr>
    <w:tr w:rsidR="00F570B3" w:rsidTr="00D043AE">
      <w:trPr>
        <w:trHeight w:val="276"/>
      </w:trPr>
      <w:tc>
        <w:tcPr>
          <w:tcW w:w="1274" w:type="dxa"/>
          <w:vMerge/>
          <w:tcBorders>
            <w:top w:val="nil"/>
          </w:tcBorders>
        </w:tcPr>
        <w:p w:rsidR="00F570B3" w:rsidRDefault="00F570B3" w:rsidP="00D043AE">
          <w:pPr>
            <w:rPr>
              <w:sz w:val="2"/>
              <w:szCs w:val="2"/>
            </w:rPr>
          </w:pPr>
        </w:p>
      </w:tc>
      <w:tc>
        <w:tcPr>
          <w:tcW w:w="4118" w:type="dxa"/>
          <w:vMerge/>
          <w:tcBorders>
            <w:top w:val="nil"/>
          </w:tcBorders>
        </w:tcPr>
        <w:p w:rsidR="00F570B3" w:rsidRDefault="00F570B3" w:rsidP="00D043AE">
          <w:pPr>
            <w:rPr>
              <w:sz w:val="2"/>
              <w:szCs w:val="2"/>
            </w:rPr>
          </w:pPr>
        </w:p>
      </w:tc>
      <w:tc>
        <w:tcPr>
          <w:tcW w:w="2516" w:type="dxa"/>
        </w:tcPr>
        <w:p w:rsidR="00F570B3" w:rsidRPr="00AB33B8" w:rsidRDefault="00F570B3" w:rsidP="00D043AE">
          <w:pPr>
            <w:pStyle w:val="TableParagraph"/>
            <w:spacing w:before="7"/>
            <w:ind w:left="82"/>
            <w:rPr>
              <w:rFonts w:ascii="Times New Roman" w:hAnsi="Times New Roman" w:cs="Times New Roman"/>
              <w:sz w:val="20"/>
            </w:rPr>
          </w:pPr>
          <w:r w:rsidRPr="00AB33B8">
            <w:rPr>
              <w:rFonts w:ascii="Times New Roman" w:hAnsi="Times New Roman" w:cs="Times New Roman"/>
              <w:color w:val="00000A"/>
              <w:sz w:val="20"/>
            </w:rPr>
            <w:t xml:space="preserve">İlk </w:t>
          </w:r>
          <w:proofErr w:type="spellStart"/>
          <w:r w:rsidRPr="00AB33B8">
            <w:rPr>
              <w:rFonts w:ascii="Times New Roman" w:hAnsi="Times New Roman" w:cs="Times New Roman"/>
              <w:color w:val="00000A"/>
              <w:sz w:val="20"/>
            </w:rPr>
            <w:t>Yayın</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Tarihi</w:t>
          </w:r>
          <w:proofErr w:type="spellEnd"/>
          <w:r w:rsidRPr="00AB33B8">
            <w:rPr>
              <w:rFonts w:ascii="Times New Roman" w:hAnsi="Times New Roman" w:cs="Times New Roman"/>
              <w:color w:val="00000A"/>
              <w:sz w:val="20"/>
            </w:rPr>
            <w:t>/</w:t>
          </w:r>
          <w:proofErr w:type="spellStart"/>
          <w:r w:rsidRPr="00AB33B8">
            <w:rPr>
              <w:rFonts w:ascii="Times New Roman" w:hAnsi="Times New Roman" w:cs="Times New Roman"/>
              <w:color w:val="00000A"/>
              <w:sz w:val="20"/>
            </w:rPr>
            <w:t>Sayısı</w:t>
          </w:r>
          <w:proofErr w:type="spellEnd"/>
        </w:p>
      </w:tc>
      <w:tc>
        <w:tcPr>
          <w:tcW w:w="1117" w:type="dxa"/>
        </w:tcPr>
        <w:p w:rsidR="00F570B3" w:rsidRDefault="00F570B3" w:rsidP="00D043AE">
          <w:pPr>
            <w:pStyle w:val="TableParagraph"/>
            <w:rPr>
              <w:rFonts w:ascii="Times New Roman"/>
              <w:sz w:val="20"/>
            </w:rPr>
          </w:pPr>
        </w:p>
      </w:tc>
    </w:tr>
    <w:tr w:rsidR="00F570B3" w:rsidTr="00D043AE">
      <w:trPr>
        <w:trHeight w:val="275"/>
      </w:trPr>
      <w:tc>
        <w:tcPr>
          <w:tcW w:w="1274" w:type="dxa"/>
          <w:vMerge/>
          <w:tcBorders>
            <w:top w:val="nil"/>
          </w:tcBorders>
        </w:tcPr>
        <w:p w:rsidR="00F570B3" w:rsidRDefault="00F570B3" w:rsidP="00D043AE">
          <w:pPr>
            <w:rPr>
              <w:sz w:val="2"/>
              <w:szCs w:val="2"/>
            </w:rPr>
          </w:pPr>
        </w:p>
      </w:tc>
      <w:tc>
        <w:tcPr>
          <w:tcW w:w="4118" w:type="dxa"/>
          <w:vMerge/>
          <w:tcBorders>
            <w:top w:val="nil"/>
          </w:tcBorders>
        </w:tcPr>
        <w:p w:rsidR="00F570B3" w:rsidRDefault="00F570B3" w:rsidP="00D043AE">
          <w:pPr>
            <w:rPr>
              <w:sz w:val="2"/>
              <w:szCs w:val="2"/>
            </w:rPr>
          </w:pPr>
        </w:p>
      </w:tc>
      <w:tc>
        <w:tcPr>
          <w:tcW w:w="2516" w:type="dxa"/>
        </w:tcPr>
        <w:p w:rsidR="00F570B3" w:rsidRPr="00AB33B8" w:rsidRDefault="00F570B3" w:rsidP="00D043AE">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Revizyon</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Tarihi</w:t>
          </w:r>
          <w:proofErr w:type="spellEnd"/>
        </w:p>
      </w:tc>
      <w:tc>
        <w:tcPr>
          <w:tcW w:w="1117" w:type="dxa"/>
        </w:tcPr>
        <w:p w:rsidR="00F570B3" w:rsidRDefault="00F570B3" w:rsidP="00D043AE">
          <w:pPr>
            <w:pStyle w:val="TableParagraph"/>
            <w:rPr>
              <w:rFonts w:ascii="Times New Roman"/>
              <w:sz w:val="20"/>
            </w:rPr>
          </w:pPr>
        </w:p>
      </w:tc>
    </w:tr>
    <w:tr w:rsidR="00F570B3" w:rsidTr="00D043AE">
      <w:trPr>
        <w:trHeight w:val="276"/>
      </w:trPr>
      <w:tc>
        <w:tcPr>
          <w:tcW w:w="1274" w:type="dxa"/>
          <w:vMerge/>
          <w:tcBorders>
            <w:top w:val="nil"/>
          </w:tcBorders>
        </w:tcPr>
        <w:p w:rsidR="00F570B3" w:rsidRDefault="00F570B3" w:rsidP="00D043AE">
          <w:pPr>
            <w:rPr>
              <w:sz w:val="2"/>
              <w:szCs w:val="2"/>
            </w:rPr>
          </w:pPr>
        </w:p>
      </w:tc>
      <w:tc>
        <w:tcPr>
          <w:tcW w:w="4118" w:type="dxa"/>
          <w:vMerge/>
          <w:tcBorders>
            <w:top w:val="nil"/>
          </w:tcBorders>
        </w:tcPr>
        <w:p w:rsidR="00F570B3" w:rsidRDefault="00F570B3" w:rsidP="00D043AE">
          <w:pPr>
            <w:rPr>
              <w:sz w:val="2"/>
              <w:szCs w:val="2"/>
            </w:rPr>
          </w:pPr>
        </w:p>
      </w:tc>
      <w:tc>
        <w:tcPr>
          <w:tcW w:w="2516" w:type="dxa"/>
        </w:tcPr>
        <w:p w:rsidR="00F570B3" w:rsidRPr="00AB33B8" w:rsidRDefault="00F570B3" w:rsidP="00D043AE">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Revizyon</w:t>
          </w:r>
          <w:proofErr w:type="spellEnd"/>
          <w:r w:rsidRPr="00AB33B8">
            <w:rPr>
              <w:rFonts w:ascii="Times New Roman" w:hAnsi="Times New Roman" w:cs="Times New Roman"/>
              <w:color w:val="00000A"/>
              <w:sz w:val="20"/>
            </w:rPr>
            <w:t xml:space="preserve"> No</w:t>
          </w:r>
        </w:p>
      </w:tc>
      <w:tc>
        <w:tcPr>
          <w:tcW w:w="1117" w:type="dxa"/>
        </w:tcPr>
        <w:p w:rsidR="00F570B3" w:rsidRDefault="00F570B3" w:rsidP="00D043AE">
          <w:pPr>
            <w:pStyle w:val="TableParagraph"/>
            <w:rPr>
              <w:rFonts w:ascii="Times New Roman"/>
              <w:sz w:val="20"/>
            </w:rPr>
          </w:pPr>
        </w:p>
      </w:tc>
    </w:tr>
    <w:tr w:rsidR="00F570B3" w:rsidTr="00D043AE">
      <w:trPr>
        <w:trHeight w:val="275"/>
      </w:trPr>
      <w:tc>
        <w:tcPr>
          <w:tcW w:w="1274" w:type="dxa"/>
          <w:vMerge/>
          <w:tcBorders>
            <w:top w:val="nil"/>
          </w:tcBorders>
        </w:tcPr>
        <w:p w:rsidR="00F570B3" w:rsidRDefault="00F570B3" w:rsidP="00D043AE">
          <w:pPr>
            <w:rPr>
              <w:sz w:val="2"/>
              <w:szCs w:val="2"/>
            </w:rPr>
          </w:pPr>
        </w:p>
      </w:tc>
      <w:tc>
        <w:tcPr>
          <w:tcW w:w="4118" w:type="dxa"/>
          <w:vMerge/>
          <w:tcBorders>
            <w:top w:val="nil"/>
          </w:tcBorders>
        </w:tcPr>
        <w:p w:rsidR="00F570B3" w:rsidRDefault="00F570B3" w:rsidP="00D043AE">
          <w:pPr>
            <w:rPr>
              <w:sz w:val="2"/>
              <w:szCs w:val="2"/>
            </w:rPr>
          </w:pPr>
        </w:p>
      </w:tc>
      <w:tc>
        <w:tcPr>
          <w:tcW w:w="2516" w:type="dxa"/>
        </w:tcPr>
        <w:p w:rsidR="00F570B3" w:rsidRPr="00AB33B8" w:rsidRDefault="00F570B3" w:rsidP="00D043AE">
          <w:pPr>
            <w:pStyle w:val="TableParagraph"/>
            <w:spacing w:before="7"/>
            <w:ind w:left="82"/>
            <w:rPr>
              <w:rFonts w:ascii="Times New Roman" w:hAnsi="Times New Roman" w:cs="Times New Roman"/>
              <w:sz w:val="20"/>
            </w:rPr>
          </w:pPr>
          <w:proofErr w:type="spellStart"/>
          <w:r w:rsidRPr="00AB33B8">
            <w:rPr>
              <w:rFonts w:ascii="Times New Roman" w:hAnsi="Times New Roman" w:cs="Times New Roman"/>
              <w:color w:val="00000A"/>
              <w:sz w:val="20"/>
            </w:rPr>
            <w:t>Toplam</w:t>
          </w:r>
          <w:proofErr w:type="spellEnd"/>
          <w:r w:rsidRPr="00AB33B8">
            <w:rPr>
              <w:rFonts w:ascii="Times New Roman" w:hAnsi="Times New Roman" w:cs="Times New Roman"/>
              <w:color w:val="00000A"/>
              <w:sz w:val="20"/>
            </w:rPr>
            <w:t xml:space="preserve"> </w:t>
          </w:r>
          <w:proofErr w:type="spellStart"/>
          <w:r w:rsidRPr="00AB33B8">
            <w:rPr>
              <w:rFonts w:ascii="Times New Roman" w:hAnsi="Times New Roman" w:cs="Times New Roman"/>
              <w:color w:val="00000A"/>
              <w:sz w:val="20"/>
            </w:rPr>
            <w:t>Sayfa</w:t>
          </w:r>
          <w:proofErr w:type="spellEnd"/>
        </w:p>
      </w:tc>
      <w:tc>
        <w:tcPr>
          <w:tcW w:w="1117" w:type="dxa"/>
        </w:tcPr>
        <w:p w:rsidR="00F570B3" w:rsidRDefault="00F570B3" w:rsidP="00F570B3">
          <w:pPr>
            <w:pStyle w:val="TableParagraph"/>
            <w:jc w:val="center"/>
            <w:rPr>
              <w:rFonts w:ascii="Times New Roman"/>
              <w:sz w:val="20"/>
            </w:rPr>
          </w:pPr>
        </w:p>
      </w:tc>
    </w:tr>
  </w:tbl>
  <w:p w:rsidR="00F570B3" w:rsidRDefault="00F570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16"/>
    <w:rsid w:val="0004621E"/>
    <w:rsid w:val="00065F9F"/>
    <w:rsid w:val="000A4610"/>
    <w:rsid w:val="000B17C1"/>
    <w:rsid w:val="000D3CC8"/>
    <w:rsid w:val="000E2418"/>
    <w:rsid w:val="00100D03"/>
    <w:rsid w:val="00106616"/>
    <w:rsid w:val="00131892"/>
    <w:rsid w:val="00132983"/>
    <w:rsid w:val="00135D12"/>
    <w:rsid w:val="00141538"/>
    <w:rsid w:val="00152C16"/>
    <w:rsid w:val="001550F1"/>
    <w:rsid w:val="001628E7"/>
    <w:rsid w:val="00175EC4"/>
    <w:rsid w:val="001B448E"/>
    <w:rsid w:val="001B6E1C"/>
    <w:rsid w:val="001C7186"/>
    <w:rsid w:val="001D329C"/>
    <w:rsid w:val="001F391C"/>
    <w:rsid w:val="001F662F"/>
    <w:rsid w:val="00212401"/>
    <w:rsid w:val="002144EA"/>
    <w:rsid w:val="00221D6A"/>
    <w:rsid w:val="00245FA9"/>
    <w:rsid w:val="002633ED"/>
    <w:rsid w:val="00270767"/>
    <w:rsid w:val="002D231A"/>
    <w:rsid w:val="002F6E23"/>
    <w:rsid w:val="00313265"/>
    <w:rsid w:val="003253F5"/>
    <w:rsid w:val="00345999"/>
    <w:rsid w:val="00351818"/>
    <w:rsid w:val="00353152"/>
    <w:rsid w:val="00356C81"/>
    <w:rsid w:val="00362CD7"/>
    <w:rsid w:val="003C6723"/>
    <w:rsid w:val="00441EA6"/>
    <w:rsid w:val="004441CB"/>
    <w:rsid w:val="00480E0B"/>
    <w:rsid w:val="004A53FD"/>
    <w:rsid w:val="00502467"/>
    <w:rsid w:val="00515E10"/>
    <w:rsid w:val="0055785D"/>
    <w:rsid w:val="00567248"/>
    <w:rsid w:val="00587241"/>
    <w:rsid w:val="006302B5"/>
    <w:rsid w:val="00671E9D"/>
    <w:rsid w:val="00674AB6"/>
    <w:rsid w:val="00694C2B"/>
    <w:rsid w:val="00696028"/>
    <w:rsid w:val="006B6848"/>
    <w:rsid w:val="006C5C08"/>
    <w:rsid w:val="00706BF2"/>
    <w:rsid w:val="0071454A"/>
    <w:rsid w:val="007154F9"/>
    <w:rsid w:val="0079706D"/>
    <w:rsid w:val="007D5727"/>
    <w:rsid w:val="007F0AF8"/>
    <w:rsid w:val="007F485A"/>
    <w:rsid w:val="008360AF"/>
    <w:rsid w:val="00871F25"/>
    <w:rsid w:val="0089009C"/>
    <w:rsid w:val="0089316C"/>
    <w:rsid w:val="008C7F2D"/>
    <w:rsid w:val="008E0359"/>
    <w:rsid w:val="00900E43"/>
    <w:rsid w:val="00907768"/>
    <w:rsid w:val="009337B6"/>
    <w:rsid w:val="009C6FB2"/>
    <w:rsid w:val="00A06131"/>
    <w:rsid w:val="00A114C0"/>
    <w:rsid w:val="00A37DD9"/>
    <w:rsid w:val="00A5358C"/>
    <w:rsid w:val="00A92CD0"/>
    <w:rsid w:val="00AA161D"/>
    <w:rsid w:val="00AB33B8"/>
    <w:rsid w:val="00AD07D4"/>
    <w:rsid w:val="00B0572A"/>
    <w:rsid w:val="00B06348"/>
    <w:rsid w:val="00B24C76"/>
    <w:rsid w:val="00B402AC"/>
    <w:rsid w:val="00B64716"/>
    <w:rsid w:val="00B82790"/>
    <w:rsid w:val="00B933E1"/>
    <w:rsid w:val="00BB47A8"/>
    <w:rsid w:val="00BB4CE5"/>
    <w:rsid w:val="00BD375B"/>
    <w:rsid w:val="00BE01FE"/>
    <w:rsid w:val="00C222F7"/>
    <w:rsid w:val="00C250F9"/>
    <w:rsid w:val="00C37E2A"/>
    <w:rsid w:val="00C45C51"/>
    <w:rsid w:val="00C76D4C"/>
    <w:rsid w:val="00C868B6"/>
    <w:rsid w:val="00C925BC"/>
    <w:rsid w:val="00C93B96"/>
    <w:rsid w:val="00D8338B"/>
    <w:rsid w:val="00DC1DC7"/>
    <w:rsid w:val="00DD6353"/>
    <w:rsid w:val="00E30EDD"/>
    <w:rsid w:val="00E42C6A"/>
    <w:rsid w:val="00E46765"/>
    <w:rsid w:val="00E53ADB"/>
    <w:rsid w:val="00E64F31"/>
    <w:rsid w:val="00E80F17"/>
    <w:rsid w:val="00E96C61"/>
    <w:rsid w:val="00E97BBE"/>
    <w:rsid w:val="00EB511A"/>
    <w:rsid w:val="00EC4BB6"/>
    <w:rsid w:val="00EE3550"/>
    <w:rsid w:val="00F112C3"/>
    <w:rsid w:val="00F1164E"/>
    <w:rsid w:val="00F21C5C"/>
    <w:rsid w:val="00F47BA1"/>
    <w:rsid w:val="00F52B2A"/>
    <w:rsid w:val="00F570B3"/>
    <w:rsid w:val="00F765B4"/>
    <w:rsid w:val="00F83758"/>
    <w:rsid w:val="00FF2D17"/>
    <w:rsid w:val="00FF30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F1FAF-5856-49C0-8EB2-E2D95CC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6D4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6D4C"/>
    <w:pPr>
      <w:widowControl w:val="0"/>
      <w:autoSpaceDE w:val="0"/>
      <w:autoSpaceDN w:val="0"/>
      <w:spacing w:after="0" w:line="240" w:lineRule="auto"/>
    </w:pPr>
    <w:rPr>
      <w:rFonts w:ascii="Carlito" w:eastAsia="Carlito" w:hAnsi="Carlito" w:cs="Carlito"/>
      <w:lang w:eastAsia="en-US"/>
    </w:rPr>
  </w:style>
  <w:style w:type="paragraph" w:styleId="BalonMetni">
    <w:name w:val="Balloon Text"/>
    <w:basedOn w:val="Normal"/>
    <w:link w:val="BalonMetniChar"/>
    <w:uiPriority w:val="99"/>
    <w:semiHidden/>
    <w:unhideWhenUsed/>
    <w:rsid w:val="00C76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D4C"/>
    <w:rPr>
      <w:rFonts w:ascii="Tahoma" w:hAnsi="Tahoma" w:cs="Tahoma"/>
      <w:sz w:val="16"/>
      <w:szCs w:val="16"/>
    </w:rPr>
  </w:style>
  <w:style w:type="paragraph" w:styleId="stbilgi">
    <w:name w:val="header"/>
    <w:basedOn w:val="Normal"/>
    <w:link w:val="stbilgiChar"/>
    <w:uiPriority w:val="99"/>
    <w:semiHidden/>
    <w:unhideWhenUsed/>
    <w:rsid w:val="00C76D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6D4C"/>
  </w:style>
  <w:style w:type="paragraph" w:styleId="Altbilgi">
    <w:name w:val="footer"/>
    <w:basedOn w:val="Normal"/>
    <w:link w:val="AltbilgiChar"/>
    <w:uiPriority w:val="99"/>
    <w:unhideWhenUsed/>
    <w:rsid w:val="00C76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D4C"/>
  </w:style>
  <w:style w:type="character" w:styleId="AklamaBavurusu">
    <w:name w:val="annotation reference"/>
    <w:basedOn w:val="VarsaylanParagrafYazTipi"/>
    <w:uiPriority w:val="99"/>
    <w:semiHidden/>
    <w:unhideWhenUsed/>
    <w:rsid w:val="00E46765"/>
    <w:rPr>
      <w:sz w:val="16"/>
      <w:szCs w:val="16"/>
    </w:rPr>
  </w:style>
  <w:style w:type="paragraph" w:styleId="AklamaMetni">
    <w:name w:val="annotation text"/>
    <w:basedOn w:val="Normal"/>
    <w:link w:val="AklamaMetniChar"/>
    <w:uiPriority w:val="99"/>
    <w:semiHidden/>
    <w:unhideWhenUsed/>
    <w:rsid w:val="00E467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765"/>
    <w:rPr>
      <w:sz w:val="20"/>
      <w:szCs w:val="20"/>
    </w:rPr>
  </w:style>
  <w:style w:type="paragraph" w:styleId="AklamaKonusu">
    <w:name w:val="annotation subject"/>
    <w:basedOn w:val="AklamaMetni"/>
    <w:next w:val="AklamaMetni"/>
    <w:link w:val="AklamaKonusuChar"/>
    <w:uiPriority w:val="99"/>
    <w:semiHidden/>
    <w:unhideWhenUsed/>
    <w:rsid w:val="00E46765"/>
    <w:rPr>
      <w:b/>
      <w:bCs/>
    </w:rPr>
  </w:style>
  <w:style w:type="character" w:customStyle="1" w:styleId="AklamaKonusuChar">
    <w:name w:val="Açıklama Konusu Char"/>
    <w:basedOn w:val="AklamaMetniChar"/>
    <w:link w:val="AklamaKonusu"/>
    <w:uiPriority w:val="99"/>
    <w:semiHidden/>
    <w:rsid w:val="00E46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2127</Words>
  <Characters>12127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YONSIS</dc:creator>
  <cp:lastModifiedBy>USER</cp:lastModifiedBy>
  <cp:revision>37</cp:revision>
  <cp:lastPrinted>2021-07-16T06:49:00Z</cp:lastPrinted>
  <dcterms:created xsi:type="dcterms:W3CDTF">2021-12-02T11:50:00Z</dcterms:created>
  <dcterms:modified xsi:type="dcterms:W3CDTF">2021-12-09T07:14:00Z</dcterms:modified>
</cp:coreProperties>
</file>